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444160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24465050" w:history="1">
        <w:r w:rsidR="00444160" w:rsidRPr="00CF4392">
          <w:rPr>
            <w:rStyle w:val="Hypertextovodkaz"/>
            <w:noProof/>
          </w:rPr>
          <w:t>1. Identifikační údaje</w:t>
        </w:r>
        <w:r w:rsidR="00444160">
          <w:rPr>
            <w:noProof/>
            <w:webHidden/>
          </w:rPr>
          <w:tab/>
        </w:r>
        <w:r w:rsidR="00444160">
          <w:rPr>
            <w:noProof/>
            <w:webHidden/>
          </w:rPr>
          <w:fldChar w:fldCharType="begin"/>
        </w:r>
        <w:r w:rsidR="00444160">
          <w:rPr>
            <w:noProof/>
            <w:webHidden/>
          </w:rPr>
          <w:instrText xml:space="preserve"> PAGEREF _Toc24465050 \h </w:instrText>
        </w:r>
        <w:r w:rsidR="00444160">
          <w:rPr>
            <w:noProof/>
            <w:webHidden/>
          </w:rPr>
        </w:r>
        <w:r w:rsidR="00444160">
          <w:rPr>
            <w:noProof/>
            <w:webHidden/>
          </w:rPr>
          <w:fldChar w:fldCharType="separate"/>
        </w:r>
        <w:r w:rsidR="00444160">
          <w:rPr>
            <w:noProof/>
            <w:webHidden/>
          </w:rPr>
          <w:t>2</w:t>
        </w:r>
        <w:r w:rsidR="00444160"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51" w:history="1">
        <w:r w:rsidRPr="00CF4392">
          <w:rPr>
            <w:rStyle w:val="Hypertextovodkaz"/>
            <w:noProof/>
          </w:rPr>
          <w:t>2. NÁZEV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2" w:history="1">
        <w:r w:rsidRPr="00CF4392">
          <w:rPr>
            <w:rStyle w:val="Hypertextovodkaz"/>
          </w:rPr>
          <w:t>2.1 Identifikační údaje stavebního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3" w:history="1">
        <w:r w:rsidRPr="00CF4392">
          <w:rPr>
            <w:rStyle w:val="Hypertextovodkaz"/>
          </w:rPr>
          <w:t>2.2 Popis a základní údaje 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54" w:history="1">
        <w:r w:rsidRPr="00CF4392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55" w:history="1">
        <w:r w:rsidRPr="00CF4392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6" w:history="1">
        <w:r w:rsidRPr="00CF4392">
          <w:rPr>
            <w:rStyle w:val="Hypertextovodkaz"/>
          </w:rPr>
          <w:t>4.1 Energetická náročnost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7" w:history="1">
        <w:r w:rsidRPr="00CF4392">
          <w:rPr>
            <w:rStyle w:val="Hypertextovodkaz"/>
          </w:rPr>
          <w:t>4.2 Koncept vytápění dílenský prostor a garáží.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8" w:history="1">
        <w:r w:rsidRPr="00CF4392">
          <w:rPr>
            <w:rStyle w:val="Hypertextovodkaz"/>
          </w:rPr>
          <w:t>4.3 Napojení VZT jednotek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59" w:history="1">
        <w:r w:rsidRPr="00CF4392">
          <w:rPr>
            <w:rStyle w:val="Hypertextovodkaz"/>
          </w:rPr>
          <w:t>4.4 Otopná tělesa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60" w:history="1">
        <w:r w:rsidRPr="00CF4392">
          <w:rPr>
            <w:rStyle w:val="Hypertextovodkaz"/>
          </w:rPr>
          <w:t>4.5 Rozvody vytápění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61" w:history="1">
        <w:r w:rsidRPr="00CF4392">
          <w:rPr>
            <w:rStyle w:val="Hypertextovodkaz"/>
          </w:rPr>
          <w:t>4.6 Izolace potrubí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62" w:history="1">
        <w:r w:rsidRPr="00CF4392">
          <w:rPr>
            <w:rStyle w:val="Hypertextovodkaz"/>
          </w:rPr>
          <w:t>4.7 Měření spotřeby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63" w:history="1">
        <w:r w:rsidRPr="00CF4392">
          <w:rPr>
            <w:rStyle w:val="Hypertextovodkaz"/>
          </w:rPr>
          <w:t>4.8 Ohřev TV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64" w:history="1">
        <w:r w:rsidRPr="00CF4392">
          <w:rPr>
            <w:rStyle w:val="Hypertextovodkaz"/>
            <w:bCs/>
            <w:noProof/>
            <w:kern w:val="32"/>
          </w:rPr>
          <w:t>5.</w:t>
        </w:r>
        <w:r w:rsidRPr="00CF4392">
          <w:rPr>
            <w:rStyle w:val="Hypertextovodkaz"/>
            <w:rFonts w:cs="Arial"/>
            <w:bCs/>
            <w:noProof/>
            <w:kern w:val="32"/>
          </w:rPr>
          <w:t xml:space="preserve"> shrnutí rozhodujících závěrů z pracovních porad včetně uvedení odkazu na dokladovou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65" w:history="1">
        <w:r w:rsidRPr="00CF4392">
          <w:rPr>
            <w:rStyle w:val="Hypertextovodkaz"/>
          </w:rPr>
          <w:t>5.1 DODRŽENÍ OBECNÝCH POŽADAVKŮ NA VÝSTAVBU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66" w:history="1">
        <w:r w:rsidRPr="00CF4392">
          <w:rPr>
            <w:rStyle w:val="Hypertextovodkaz"/>
            <w:bCs/>
            <w:noProof/>
            <w:kern w:val="32"/>
          </w:rPr>
          <w:t>6.</w:t>
        </w:r>
        <w:r w:rsidRPr="00CF4392">
          <w:rPr>
            <w:rStyle w:val="Hypertextovodkaz"/>
            <w:rFonts w:cs="Arial"/>
            <w:bCs/>
            <w:noProof/>
            <w:kern w:val="32"/>
          </w:rPr>
          <w:t xml:space="preserve"> návaznost na OSTATNÍ PROVOZNÍ SOUBORY (PS) A stavební objekty (SO)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67" w:history="1">
        <w:r w:rsidRPr="00CF4392">
          <w:rPr>
            <w:rStyle w:val="Hypertextovodkaz"/>
            <w:bCs/>
            <w:noProof/>
            <w:kern w:val="32"/>
          </w:rPr>
          <w:t>7.</w:t>
        </w:r>
        <w:r w:rsidRPr="00CF4392">
          <w:rPr>
            <w:rStyle w:val="Hypertextovodkaz"/>
            <w:rFonts w:cs="Arial"/>
            <w:bCs/>
            <w:noProof/>
            <w:kern w:val="32"/>
          </w:rPr>
          <w:t xml:space="preserve">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68" w:history="1">
        <w:r w:rsidRPr="00CF4392">
          <w:rPr>
            <w:rStyle w:val="Hypertextovodkaz"/>
            <w:bCs/>
            <w:noProof/>
            <w:kern w:val="32"/>
          </w:rPr>
          <w:t>8.</w:t>
        </w:r>
        <w:r w:rsidRPr="00CF4392">
          <w:rPr>
            <w:rStyle w:val="Hypertextovodkaz"/>
            <w:rFonts w:cs="Arial"/>
            <w:bCs/>
            <w:noProof/>
            <w:kern w:val="32"/>
          </w:rPr>
          <w:t xml:space="preserve">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65069" w:history="1">
        <w:r w:rsidRPr="00CF4392">
          <w:rPr>
            <w:rStyle w:val="Hypertextovodkaz"/>
            <w:noProof/>
          </w:rPr>
          <w:t>9. Přílohy: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_Toc24465069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44160" w:rsidRDefault="0044416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65070" w:history="1">
        <w:r w:rsidRPr="00CF4392">
          <w:rPr>
            <w:rStyle w:val="Hypertextovodkaz"/>
          </w:rPr>
          <w:t>9.1 Tepelná ztráta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_Toc24465070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bCs w:val="0"/>
        </w:rPr>
        <w:fldChar w:fldCharType="end"/>
      </w:r>
      <w:bookmarkEnd w:id="0"/>
    </w:p>
    <w:p w:rsidR="00A607DC" w:rsidRDefault="00B159DB" w:rsidP="00A607DC">
      <w:pPr>
        <w:pStyle w:val="Nadpis1"/>
        <w:contextualSpacing/>
      </w:pPr>
      <w:r>
        <w:rPr>
          <w:kern w:val="0"/>
        </w:rPr>
        <w:br w:type="page"/>
      </w:r>
      <w:bookmarkStart w:id="1" w:name="_Toc2605977"/>
      <w:bookmarkStart w:id="2" w:name="_Toc467852816"/>
      <w:bookmarkStart w:id="3" w:name="_Toc503258751"/>
      <w:bookmarkStart w:id="4" w:name="_Toc389134379"/>
      <w:bookmarkStart w:id="5" w:name="_Toc24465050"/>
      <w:r w:rsidR="00A607DC">
        <w:lastRenderedPageBreak/>
        <w:t>Identifikační údaje</w:t>
      </w:r>
      <w:bookmarkEnd w:id="1"/>
      <w:bookmarkEnd w:id="5"/>
    </w:p>
    <w:bookmarkEnd w:id="2"/>
    <w:bookmarkEnd w:id="3"/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 w:rsidRPr="00535F9D">
        <w:rPr>
          <w:szCs w:val="24"/>
        </w:rPr>
        <w:t xml:space="preserve">Název </w:t>
      </w:r>
      <w:proofErr w:type="gramStart"/>
      <w:r w:rsidRPr="00535F9D">
        <w:rPr>
          <w:szCs w:val="24"/>
        </w:rPr>
        <w:t>akce :</w:t>
      </w:r>
      <w:r w:rsidRPr="00535F9D">
        <w:rPr>
          <w:szCs w:val="24"/>
        </w:rPr>
        <w:tab/>
      </w:r>
      <w:r>
        <w:rPr>
          <w:b/>
        </w:rPr>
        <w:t>Rekonstrukce</w:t>
      </w:r>
      <w:proofErr w:type="gramEnd"/>
      <w:r>
        <w:rPr>
          <w:b/>
        </w:rPr>
        <w:t xml:space="preserve"> vozovny Slovany Plzeň, Slovanská alej 35</w:t>
      </w:r>
      <w:r>
        <w:rPr>
          <w:b/>
          <w:szCs w:val="24"/>
        </w:rPr>
        <w:t xml:space="preserve"> 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123484" w:rsidRPr="00535F9D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proofErr w:type="gramStart"/>
      <w:r>
        <w:rPr>
          <w:szCs w:val="24"/>
        </w:rPr>
        <w:t>Stupeň :</w:t>
      </w:r>
      <w:r>
        <w:rPr>
          <w:szCs w:val="24"/>
        </w:rPr>
        <w:tab/>
        <w:t>Dokumentace</w:t>
      </w:r>
      <w:proofErr w:type="gramEnd"/>
      <w:r>
        <w:rPr>
          <w:szCs w:val="24"/>
        </w:rPr>
        <w:t xml:space="preserve"> pro provádění stavby (DPS) sloužící pro Zadávací           dokumentaci</w:t>
      </w:r>
    </w:p>
    <w:p w:rsidR="00123484" w:rsidRPr="00AC6CE3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gramStart"/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</w:t>
      </w:r>
      <w:proofErr w:type="gramEnd"/>
      <w:r w:rsidRPr="00A76E14">
        <w:rPr>
          <w:b/>
          <w:szCs w:val="24"/>
        </w:rPr>
        <w:t xml:space="preserve"> „MP+MMD – Vozovna Slovany“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proofErr w:type="gramStart"/>
      <w:r w:rsidRPr="00A76E14">
        <w:rPr>
          <w:szCs w:val="24"/>
        </w:rPr>
        <w:t>I.P.</w:t>
      </w:r>
      <w:proofErr w:type="gramEnd"/>
      <w:r w:rsidRPr="00A76E14">
        <w:rPr>
          <w:szCs w:val="24"/>
        </w:rPr>
        <w:t xml:space="preserve"> Pavlova 2/1786, 120 00 Praha 2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45271895,    DIČ: CZ45271895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48588733,    DIČ: CZ48588733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123484" w:rsidRPr="00CE2CDC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123484" w:rsidRPr="00A76E1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123484" w:rsidRPr="00CE2CDC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123484" w:rsidRPr="000C1C83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123484" w:rsidRPr="000C1C83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spellStart"/>
      <w:r w:rsidRPr="000C1C83">
        <w:rPr>
          <w:szCs w:val="24"/>
        </w:rPr>
        <w:t>Inž</w:t>
      </w:r>
      <w:proofErr w:type="spellEnd"/>
      <w:r w:rsidRPr="000C1C83">
        <w:rPr>
          <w:szCs w:val="24"/>
        </w:rPr>
        <w:t>. činnost:</w:t>
      </w:r>
      <w:r w:rsidRPr="000C1C83">
        <w:rPr>
          <w:szCs w:val="24"/>
        </w:rPr>
        <w:tab/>
      </w:r>
      <w:r w:rsidRPr="00535F9D">
        <w:rPr>
          <w:szCs w:val="24"/>
        </w:rPr>
        <w:t xml:space="preserve">METROPROJEKT Praha a.s., </w:t>
      </w:r>
      <w:proofErr w:type="spellStart"/>
      <w:proofErr w:type="gramStart"/>
      <w:r w:rsidRPr="00535F9D">
        <w:rPr>
          <w:szCs w:val="24"/>
        </w:rPr>
        <w:t>nám.I.P.</w:t>
      </w:r>
      <w:proofErr w:type="gramEnd"/>
      <w:r w:rsidRPr="00535F9D">
        <w:rPr>
          <w:szCs w:val="24"/>
        </w:rPr>
        <w:t>Pavlova</w:t>
      </w:r>
      <w:proofErr w:type="spellEnd"/>
      <w:r w:rsidRPr="00535F9D">
        <w:rPr>
          <w:szCs w:val="24"/>
        </w:rPr>
        <w:t xml:space="preserve"> 1786/2, Praha 2</w:t>
      </w:r>
    </w:p>
    <w:p w:rsidR="00123484" w:rsidRPr="00686A55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 xml:space="preserve">Plzeňské městské dopravní podniky, </w:t>
      </w:r>
      <w:proofErr w:type="spellStart"/>
      <w:r w:rsidRPr="00A76E14">
        <w:rPr>
          <w:szCs w:val="24"/>
        </w:rPr>
        <w:t>a.s</w:t>
      </w:r>
      <w:proofErr w:type="spellEnd"/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</w:p>
    <w:p w:rsidR="00123484" w:rsidRPr="00A127A9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123484" w:rsidRDefault="00123484" w:rsidP="00123484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324E7" w:rsidRPr="006324E7" w:rsidRDefault="00123484" w:rsidP="00123484">
      <w:pPr>
        <w:pStyle w:val="Nadpis1"/>
      </w:pPr>
      <w:bookmarkStart w:id="6" w:name="_Toc24465051"/>
      <w:r>
        <w:t>NÁZEV</w:t>
      </w:r>
      <w:bookmarkEnd w:id="6"/>
    </w:p>
    <w:p w:rsidR="004B1FBC" w:rsidRPr="00377971" w:rsidRDefault="004B1FBC" w:rsidP="00C4423E">
      <w:pPr>
        <w:pStyle w:val="Nadpis2"/>
      </w:pPr>
      <w:bookmarkStart w:id="7" w:name="_Toc467852817"/>
      <w:bookmarkStart w:id="8" w:name="_Toc503258752"/>
      <w:bookmarkStart w:id="9" w:name="_Toc24465052"/>
      <w:r w:rsidRPr="00C4423E">
        <w:t>Identifikační</w:t>
      </w:r>
      <w:r>
        <w:t xml:space="preserve"> údaje </w:t>
      </w:r>
      <w:r w:rsidR="00A607DC">
        <w:t>stavebního</w:t>
      </w:r>
      <w:r>
        <w:t xml:space="preserve"> objektu</w:t>
      </w:r>
      <w:bookmarkEnd w:id="7"/>
      <w:bookmarkEnd w:id="8"/>
      <w:bookmarkEnd w:id="9"/>
    </w:p>
    <w:p w:rsidR="0001052F" w:rsidRPr="006324E7" w:rsidRDefault="00892238" w:rsidP="006540C5">
      <w:pPr>
        <w:spacing w:after="60"/>
        <w:rPr>
          <w:rFonts w:cs="Arial"/>
          <w:sz w:val="24"/>
          <w:szCs w:val="24"/>
        </w:rPr>
      </w:pPr>
      <w:r w:rsidRPr="00892238">
        <w:rPr>
          <w:rFonts w:cs="Arial"/>
          <w:sz w:val="24"/>
          <w:szCs w:val="24"/>
        </w:rPr>
        <w:t>SOD I Objekty Vrchní stavby (VST)</w:t>
      </w:r>
      <w:r w:rsidR="0001052F" w:rsidRPr="006324E7">
        <w:rPr>
          <w:rFonts w:cs="Arial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SO VST</w:t>
      </w:r>
      <w:r w:rsidR="006324E7">
        <w:rPr>
          <w:rFonts w:cs="Arial"/>
          <w:sz w:val="24"/>
          <w:szCs w:val="24"/>
        </w:rPr>
        <w:t xml:space="preserve"> 10-03</w:t>
      </w:r>
      <w:r w:rsidR="00123484">
        <w:rPr>
          <w:rFonts w:cs="Arial"/>
          <w:sz w:val="24"/>
          <w:szCs w:val="24"/>
        </w:rPr>
        <w:t>/2</w:t>
      </w:r>
      <w:r w:rsidR="006324E7">
        <w:rPr>
          <w:rFonts w:cs="Arial"/>
          <w:sz w:val="24"/>
          <w:szCs w:val="24"/>
        </w:rPr>
        <w:t xml:space="preserve"> VYTÁPĚNÍ</w:t>
      </w:r>
    </w:p>
    <w:p w:rsidR="004B1FBC" w:rsidRPr="00377971" w:rsidRDefault="004B1FBC" w:rsidP="00C4423E">
      <w:pPr>
        <w:pStyle w:val="Nadpis2"/>
      </w:pPr>
      <w:bookmarkStart w:id="10" w:name="_Toc467852818"/>
      <w:bookmarkStart w:id="11" w:name="_Toc503258753"/>
      <w:bookmarkStart w:id="12" w:name="_Toc24465053"/>
      <w:r w:rsidRPr="00377971">
        <w:t>P</w:t>
      </w:r>
      <w:r>
        <w:t>opis a základní údaje</w:t>
      </w:r>
      <w:bookmarkEnd w:id="10"/>
      <w:r>
        <w:t xml:space="preserve"> o objektu</w:t>
      </w:r>
      <w:bookmarkEnd w:id="12"/>
      <w:r>
        <w:t xml:space="preserve"> </w:t>
      </w:r>
      <w:bookmarkEnd w:id="11"/>
    </w:p>
    <w:p w:rsidR="00FC7A13" w:rsidRDefault="004B1FBC" w:rsidP="00FC7A13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ED14F8">
        <w:rPr>
          <w:szCs w:val="24"/>
        </w:rPr>
        <w:t>T</w:t>
      </w:r>
      <w:r w:rsidR="00ED14F8" w:rsidRPr="00ED14F8">
        <w:rPr>
          <w:szCs w:val="24"/>
        </w:rPr>
        <w:t xml:space="preserve">ato dílčí část dokumentace řeší </w:t>
      </w:r>
      <w:r w:rsidR="006324E7">
        <w:rPr>
          <w:szCs w:val="24"/>
        </w:rPr>
        <w:t>vytápění</w:t>
      </w:r>
      <w:r w:rsidR="00ED14F8" w:rsidRPr="00ED14F8">
        <w:rPr>
          <w:szCs w:val="24"/>
        </w:rPr>
        <w:t xml:space="preserve"> v</w:t>
      </w:r>
      <w:r w:rsidR="00096285" w:rsidRPr="00ED14F8">
        <w:rPr>
          <w:szCs w:val="24"/>
        </w:rPr>
        <w:t xml:space="preserve"> </w:t>
      </w:r>
      <w:r w:rsidR="00FC7A13">
        <w:rPr>
          <w:szCs w:val="24"/>
        </w:rPr>
        <w:t>novém objektu</w:t>
      </w:r>
      <w:r w:rsidR="00E17BEE" w:rsidRPr="00ED14F8">
        <w:rPr>
          <w:szCs w:val="24"/>
        </w:rPr>
        <w:t xml:space="preserve"> </w:t>
      </w:r>
      <w:r w:rsidR="00892238">
        <w:rPr>
          <w:szCs w:val="24"/>
        </w:rPr>
        <w:t>SOD I VST</w:t>
      </w:r>
      <w:r w:rsidR="006324E7">
        <w:rPr>
          <w:szCs w:val="24"/>
        </w:rPr>
        <w:t xml:space="preserve">. </w:t>
      </w:r>
      <w:r w:rsidR="00FC7A13">
        <w:rPr>
          <w:szCs w:val="24"/>
        </w:rPr>
        <w:t>O</w:t>
      </w:r>
      <w:r w:rsidR="006324E7">
        <w:rPr>
          <w:szCs w:val="24"/>
        </w:rPr>
        <w:t>bjekt</w:t>
      </w:r>
      <w:r w:rsidR="00892238">
        <w:rPr>
          <w:szCs w:val="24"/>
        </w:rPr>
        <w:t xml:space="preserve"> SOD </w:t>
      </w:r>
      <w:r w:rsidR="00FC7A13">
        <w:rPr>
          <w:szCs w:val="24"/>
        </w:rPr>
        <w:t>I je</w:t>
      </w:r>
      <w:r w:rsidR="00892238">
        <w:rPr>
          <w:szCs w:val="24"/>
        </w:rPr>
        <w:t xml:space="preserve"> v jedné části pouze jednopodlažní, v části dvoupodlažní.</w:t>
      </w:r>
      <w:r w:rsidR="00FC7A13">
        <w:rPr>
          <w:szCs w:val="24"/>
        </w:rPr>
        <w:t xml:space="preserve"> </w:t>
      </w:r>
    </w:p>
    <w:p w:rsidR="00FC7A13" w:rsidRPr="00ED14F8" w:rsidRDefault="00FC7A13" w:rsidP="00FC7A13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Objekt je součástí haly spolu s objekty SOD I</w:t>
      </w:r>
      <w:r w:rsidR="00892238">
        <w:rPr>
          <w:szCs w:val="24"/>
        </w:rPr>
        <w:t>I</w:t>
      </w:r>
      <w:r>
        <w:rPr>
          <w:szCs w:val="24"/>
        </w:rPr>
        <w:t xml:space="preserve"> a SOD IV a systém </w:t>
      </w:r>
      <w:r w:rsidR="006324E7">
        <w:rPr>
          <w:szCs w:val="24"/>
        </w:rPr>
        <w:t>vytápění</w:t>
      </w:r>
      <w:r>
        <w:rPr>
          <w:szCs w:val="24"/>
        </w:rPr>
        <w:t xml:space="preserve"> je řešen společně a není možné provést </w:t>
      </w:r>
      <w:r w:rsidR="006324E7">
        <w:rPr>
          <w:szCs w:val="24"/>
        </w:rPr>
        <w:t xml:space="preserve">vytápění </w:t>
      </w:r>
      <w:r>
        <w:rPr>
          <w:szCs w:val="24"/>
        </w:rPr>
        <w:t>bez návaznosti na ostatní stavební objekty.</w:t>
      </w:r>
    </w:p>
    <w:p w:rsidR="00E17BEE" w:rsidRPr="002E72FC" w:rsidRDefault="00E17BEE" w:rsidP="00E17BEE">
      <w:pPr>
        <w:pStyle w:val="Nadpis1"/>
      </w:pPr>
      <w:bookmarkStart w:id="13" w:name="_Toc467852819"/>
      <w:bookmarkStart w:id="14" w:name="_Toc503258754"/>
      <w:bookmarkStart w:id="15" w:name="_Toc389134380"/>
      <w:bookmarkStart w:id="16" w:name="_Toc24465054"/>
      <w:bookmarkEnd w:id="4"/>
      <w:r w:rsidRPr="002E72FC">
        <w:t>Přehled výchozích podkladů</w:t>
      </w:r>
      <w:bookmarkEnd w:id="13"/>
      <w:bookmarkEnd w:id="14"/>
      <w:bookmarkEnd w:id="16"/>
    </w:p>
    <w:p w:rsidR="00123484" w:rsidRPr="002664E8" w:rsidRDefault="00123484" w:rsidP="00123484">
      <w:pPr>
        <w:ind w:firstLine="567"/>
      </w:pPr>
      <w:bookmarkStart w:id="17" w:name="_Toc503258755"/>
      <w:bookmarkEnd w:id="15"/>
      <w:r w:rsidRPr="002664E8">
        <w:t>- technická specifikace objednatele</w:t>
      </w:r>
    </w:p>
    <w:p w:rsidR="00123484" w:rsidRPr="000B5DFE" w:rsidRDefault="00123484" w:rsidP="00123484">
      <w:pPr>
        <w:ind w:firstLine="567"/>
      </w:pPr>
      <w:r>
        <w:t>- zadávací podmínky</w:t>
      </w:r>
      <w:r w:rsidRPr="000B5DFE">
        <w:t xml:space="preserve"> SOD</w:t>
      </w:r>
    </w:p>
    <w:p w:rsidR="00123484" w:rsidRDefault="00123484" w:rsidP="00123484">
      <w:pPr>
        <w:ind w:firstLine="567"/>
      </w:pPr>
      <w:r w:rsidRPr="000B5DFE">
        <w:t xml:space="preserve">- </w:t>
      </w:r>
      <w:r>
        <w:t xml:space="preserve">Koncept technického řešení,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123484" w:rsidRDefault="00123484" w:rsidP="00123484">
      <w:pPr>
        <w:ind w:left="567" w:firstLine="0"/>
      </w:pPr>
      <w:r>
        <w:lastRenderedPageBreak/>
        <w:t xml:space="preserve">- PD DUR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123484" w:rsidRDefault="00123484" w:rsidP="00123484">
      <w:pPr>
        <w:ind w:left="567" w:firstLine="0"/>
      </w:pPr>
      <w:r>
        <w:t xml:space="preserve">- PD DSP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123484" w:rsidRPr="000B5DFE" w:rsidRDefault="00123484" w:rsidP="00123484">
      <w:pPr>
        <w:ind w:firstLine="567"/>
      </w:pPr>
      <w:r>
        <w:t xml:space="preserve">- </w:t>
      </w:r>
      <w:r w:rsidRPr="000B5DFE">
        <w:t>dispozice investora</w:t>
      </w:r>
    </w:p>
    <w:p w:rsidR="00123484" w:rsidRPr="000B5DFE" w:rsidRDefault="00123484" w:rsidP="00123484">
      <w:pPr>
        <w:ind w:firstLine="567"/>
      </w:pPr>
      <w:r w:rsidRPr="000B5DFE">
        <w:t>- geodetické podklady  - zaměření z</w:t>
      </w:r>
      <w:r>
        <w:t xml:space="preserve"> 11</w:t>
      </w:r>
      <w:r w:rsidRPr="000B5DFE">
        <w:t>/201</w:t>
      </w:r>
      <w:r>
        <w:t>7</w:t>
      </w:r>
      <w:r w:rsidRPr="000B5DFE">
        <w:t xml:space="preserve">, </w:t>
      </w:r>
      <w:proofErr w:type="gramStart"/>
      <w:r w:rsidRPr="000B5DFE">
        <w:t>vypracoval</w:t>
      </w:r>
      <w:proofErr w:type="gramEnd"/>
      <w:r w:rsidRPr="000B5DFE">
        <w:t xml:space="preserve"> </w:t>
      </w:r>
      <w:r>
        <w:t>Delta G, s.r.o.</w:t>
      </w:r>
    </w:p>
    <w:p w:rsidR="00123484" w:rsidRPr="00B85E25" w:rsidRDefault="00123484" w:rsidP="00123484">
      <w:pPr>
        <w:ind w:firstLine="567"/>
      </w:pPr>
      <w:r>
        <w:t>- katastrální mapa</w:t>
      </w:r>
    </w:p>
    <w:p w:rsidR="00123484" w:rsidRDefault="00123484" w:rsidP="00123484">
      <w:pPr>
        <w:ind w:firstLine="567"/>
      </w:pPr>
      <w:r w:rsidRPr="000B5DFE">
        <w:t>- závěry z výrobních výborů a jednání konaných v průběhu zpracování tohoto projektu</w:t>
      </w:r>
    </w:p>
    <w:p w:rsidR="00123484" w:rsidRPr="00F70A83" w:rsidRDefault="00123484" w:rsidP="00123484">
      <w:pPr>
        <w:ind w:left="709" w:hanging="142"/>
      </w:pPr>
      <w:r>
        <w:t xml:space="preserve">- Ekologický audit, vypracoval </w:t>
      </w:r>
      <w:proofErr w:type="spellStart"/>
      <w:r>
        <w:t>Ekola</w:t>
      </w:r>
      <w:proofErr w:type="spellEnd"/>
      <w:r>
        <w:t xml:space="preserve"> Group, v 11/2017</w:t>
      </w:r>
    </w:p>
    <w:p w:rsidR="00123484" w:rsidRDefault="00123484" w:rsidP="00123484">
      <w:pPr>
        <w:ind w:left="709" w:hanging="142"/>
      </w:pPr>
      <w:r w:rsidRPr="006B1972">
        <w:t xml:space="preserve">- Stavebně technický průzkum výskytu azbestových materiálů v objektech vozovny Slovany, vypracoval </w:t>
      </w:r>
      <w:proofErr w:type="spellStart"/>
      <w:r w:rsidRPr="006B1972">
        <w:t>Removal</w:t>
      </w:r>
      <w:proofErr w:type="spellEnd"/>
      <w:r>
        <w:t xml:space="preserve"> s.r.o.</w:t>
      </w:r>
      <w:r w:rsidRPr="006B1972">
        <w:t>,  Petr Balvín, v 03/2018</w:t>
      </w:r>
    </w:p>
    <w:p w:rsidR="00123484" w:rsidRDefault="00123484" w:rsidP="00123484">
      <w:pPr>
        <w:ind w:left="709" w:hanging="142"/>
      </w:pPr>
    </w:p>
    <w:p w:rsidR="00123484" w:rsidRPr="000B5DFE" w:rsidRDefault="00123484" w:rsidP="00123484">
      <w:pPr>
        <w:ind w:left="709" w:hanging="142"/>
      </w:pPr>
    </w:p>
    <w:p w:rsidR="00123484" w:rsidRPr="00671992" w:rsidRDefault="00123484" w:rsidP="00123484">
      <w:pPr>
        <w:ind w:firstLine="567"/>
        <w:rPr>
          <w:b/>
        </w:rPr>
      </w:pPr>
      <w:r w:rsidRPr="00671992">
        <w:rPr>
          <w:b/>
        </w:rPr>
        <w:t>Podklady objednatele:</w:t>
      </w:r>
    </w:p>
    <w:p w:rsidR="00123484" w:rsidRPr="00671992" w:rsidRDefault="00123484" w:rsidP="00123484">
      <w:pPr>
        <w:ind w:firstLine="567"/>
      </w:pPr>
      <w:r w:rsidRPr="00671992">
        <w:t xml:space="preserve">- dostupné archivní materiály </w:t>
      </w:r>
    </w:p>
    <w:p w:rsidR="00123484" w:rsidRPr="00671992" w:rsidRDefault="00123484" w:rsidP="00123484">
      <w:pPr>
        <w:rPr>
          <w:color w:val="FF0000"/>
        </w:rPr>
      </w:pPr>
    </w:p>
    <w:p w:rsidR="00123484" w:rsidRPr="00671992" w:rsidRDefault="00123484" w:rsidP="00123484">
      <w:pPr>
        <w:ind w:firstLine="567"/>
        <w:rPr>
          <w:b/>
        </w:rPr>
      </w:pPr>
      <w:r w:rsidRPr="00671992">
        <w:rPr>
          <w:b/>
        </w:rPr>
        <w:t xml:space="preserve">Základní právní předpisy a technické normy: 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266/1994 Sb. o drahách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177/1995 Sb. Vyhláška Ministerstva dopravy, kterou se vydává stavební řád drah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bCs/>
          <w:szCs w:val="22"/>
        </w:rPr>
        <w:t>zákon č. 89/2012 Sb., občanský zákoník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 xml:space="preserve">. 499/2006 Sb. o dokumentaci staveb, ve znění vyhlášky č. 62/2013 Sb. 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146/2008 Sb. o rozsahu a obsahu projektové dokumentace dopravních staveb,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169/2016 Sb. o stanovení rozsahu dokumentace veřejné zakázky na stavební práce a soupisu stavebních prací, dodávek a služeb s výkazem výměr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zákon č. 22/1997 Sb. o technických požadavcích na výrobky a o změně a doplnění některých zákonů,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proofErr w:type="spellStart"/>
      <w:r w:rsidRPr="00671992">
        <w:rPr>
          <w:rFonts w:cs="Arial"/>
          <w:color w:val="000000"/>
          <w:szCs w:val="22"/>
        </w:rPr>
        <w:t>vyhl</w:t>
      </w:r>
      <w:proofErr w:type="spellEnd"/>
      <w:r w:rsidRPr="00671992">
        <w:rPr>
          <w:rFonts w:cs="Arial"/>
          <w:color w:val="000000"/>
          <w:szCs w:val="22"/>
        </w:rPr>
        <w:t>. 100/1995 Sb. Vyhláška Ministerstva dopravy, kterou se stanoví podmínky pro provoz, konstrukci a výrobu určených technických zařízení a jejich konkretizace (Řád určených technických zařízení) -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133/1985 Sb. o požární ochraně, ve znění pozdějších předpisů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ČSN 28 0318  Průjezdné průřezy tramvajových tratí a obrysy pro vozidla provozovaná na tramvajových dráhách.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ČSN 34 3112 </w:t>
      </w:r>
      <w:r w:rsidRPr="00671992">
        <w:rPr>
          <w:szCs w:val="22"/>
        </w:rPr>
        <w:t>Bezpečnostní předpisy pro práci na trakčním vedení tramvají a trolejbusů</w:t>
      </w:r>
    </w:p>
    <w:p w:rsidR="00123484" w:rsidRPr="00671992" w:rsidRDefault="00123484" w:rsidP="00123484">
      <w:pPr>
        <w:numPr>
          <w:ilvl w:val="1"/>
          <w:numId w:val="44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dále bude upřesněno v dalších stupních dokumentace</w:t>
      </w:r>
    </w:p>
    <w:p w:rsidR="00123484" w:rsidRPr="00DB765F" w:rsidRDefault="00123484" w:rsidP="00123484">
      <w:pPr>
        <w:ind w:left="709" w:hanging="142"/>
        <w:jc w:val="left"/>
      </w:pPr>
      <w:r w:rsidRPr="00DB765F">
        <w:t>- ČSN týkající se řešené problematiky tohoto projektu: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Použité normy a související předpisy: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EN 12831</w:t>
      </w:r>
      <w:r w:rsidRPr="00DB765F">
        <w:rPr>
          <w:rFonts w:cs="Arial"/>
          <w:szCs w:val="22"/>
        </w:rPr>
        <w:tab/>
        <w:t>Tepelné soustavy v budovách - Výpočet tepelného výkonu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0540 (1-4)</w:t>
      </w:r>
      <w:r w:rsidRPr="00DB765F">
        <w:rPr>
          <w:rFonts w:cs="Arial"/>
          <w:szCs w:val="22"/>
        </w:rPr>
        <w:tab/>
        <w:t>Tepelná ochrana budov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0548</w:t>
      </w:r>
      <w:r w:rsidRPr="00DB765F">
        <w:rPr>
          <w:rFonts w:cs="Arial"/>
          <w:szCs w:val="22"/>
        </w:rPr>
        <w:tab/>
        <w:t>Výpočet tepelné zátěže klimatizovaných prostorů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lastRenderedPageBreak/>
        <w:t>ČSN 06 0310</w:t>
      </w:r>
      <w:r w:rsidRPr="00DB765F">
        <w:rPr>
          <w:rFonts w:cs="Arial"/>
          <w:szCs w:val="22"/>
        </w:rPr>
        <w:tab/>
        <w:t>Tepelné soustavy v budovách – Projektování a montáž</w:t>
      </w:r>
    </w:p>
    <w:p w:rsidR="00123484" w:rsidRPr="00DB765F" w:rsidRDefault="00123484" w:rsidP="00123484">
      <w:pPr>
        <w:tabs>
          <w:tab w:val="left" w:pos="3119"/>
        </w:tabs>
        <w:spacing w:after="0"/>
        <w:ind w:left="3119" w:hanging="2693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0320</w:t>
      </w:r>
      <w:r w:rsidRPr="00DB765F">
        <w:rPr>
          <w:rFonts w:cs="Arial"/>
          <w:szCs w:val="22"/>
        </w:rPr>
        <w:tab/>
        <w:t>Tepelné soustavy v budovách - Příprava teplé vody - Navrhování a projektování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0830</w:t>
      </w:r>
      <w:r w:rsidRPr="00DB765F">
        <w:rPr>
          <w:rFonts w:cs="Arial"/>
          <w:szCs w:val="22"/>
        </w:rPr>
        <w:tab/>
        <w:t>Tepelné soustavy v budovách - Zabezpečovací zařízení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0802</w:t>
      </w:r>
      <w:r w:rsidRPr="00DB765F">
        <w:rPr>
          <w:rFonts w:cs="Arial"/>
          <w:szCs w:val="22"/>
        </w:rPr>
        <w:tab/>
        <w:t>Požární bezpečnost staveb – Nevýrobní objekty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193/2007, kterou se stanoví podrobnosti účinnosti užití energie při rozvodu tepelné energie a vnitřním rozvodu tepelné energie a chladu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78/2013, o energetické náročnosti budov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Vyhláška č. 91/1993 Sb. k zajištění bezpečnosti práce v nízkotlakých kotelnách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Zákon 309/2006 Sb., kterým se upravují další požadavky bezpečnosti a ochrany zdraví při práci v pracovněprávních vztazích, a o zajištění bezpečnosti 33a ochrany zdraví při činnosti nebo poskytování služeb mimo pracovněprávní vztahy (zákon o zajištění dalších podmínek bezpečnosti a ochrany zdraví při práci)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272/2011 o ochraně zdraví před nepříznivými účinky hluku a vibrací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361/2007 kterým se stanoví podmínky ochrany zdraví při práci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Směrnice STP-OS4/</w:t>
      </w:r>
      <w:proofErr w:type="spellStart"/>
      <w:r w:rsidRPr="00DB765F">
        <w:rPr>
          <w:rFonts w:cs="Arial"/>
          <w:szCs w:val="22"/>
        </w:rPr>
        <w:t>č.l</w:t>
      </w:r>
      <w:proofErr w:type="spellEnd"/>
      <w:r w:rsidRPr="00DB765F">
        <w:rPr>
          <w:rFonts w:cs="Arial"/>
          <w:szCs w:val="22"/>
        </w:rPr>
        <w:t>/2005 – Optimální přípustné mikroklimatické podmínky pro obytné prostředí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Vyhláška č. 268/2009 Sb., o technických požadavcích na stavby ve znění vyhlášky č. 20/2012 Sb. </w:t>
      </w: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</w:p>
    <w:p w:rsidR="00123484" w:rsidRPr="00DB765F" w:rsidRDefault="00123484" w:rsidP="00123484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Lokalita (podle ČSN EN 12831, pro otopné období </w:t>
      </w:r>
      <w:proofErr w:type="spellStart"/>
      <w:r w:rsidRPr="00DB765F">
        <w:rPr>
          <w:rFonts w:cs="Arial"/>
          <w:szCs w:val="22"/>
        </w:rPr>
        <w:t>θ</w:t>
      </w:r>
      <w:r w:rsidRPr="00DB765F">
        <w:rPr>
          <w:rFonts w:cs="Arial"/>
          <w:szCs w:val="22"/>
          <w:vertAlign w:val="subscript"/>
        </w:rPr>
        <w:t>np,e</w:t>
      </w:r>
      <w:proofErr w:type="spellEnd"/>
      <w:r w:rsidRPr="00DB765F">
        <w:rPr>
          <w:rFonts w:cs="Arial"/>
          <w:szCs w:val="22"/>
        </w:rPr>
        <w:t xml:space="preserve">=13°C): </w:t>
      </w:r>
      <w:r>
        <w:rPr>
          <w:rFonts w:cs="Arial"/>
          <w:b/>
          <w:szCs w:val="22"/>
        </w:rPr>
        <w:t>PLZEŇ</w:t>
      </w:r>
    </w:p>
    <w:p w:rsidR="00123484" w:rsidRPr="00DB765F" w:rsidRDefault="00123484" w:rsidP="00123484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Venkovní výpočtová teplota: -15</w:t>
      </w:r>
      <w:r w:rsidRPr="00DB765F">
        <w:rPr>
          <w:rFonts w:cs="Arial"/>
          <w:szCs w:val="22"/>
        </w:rPr>
        <w:t>°C</w:t>
      </w:r>
    </w:p>
    <w:p w:rsidR="00123484" w:rsidRPr="00DB765F" w:rsidRDefault="00123484" w:rsidP="00123484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Délka topného období: 233</w:t>
      </w:r>
      <w:r w:rsidRPr="00DB765F">
        <w:rPr>
          <w:rFonts w:cs="Arial"/>
          <w:szCs w:val="22"/>
        </w:rPr>
        <w:t xml:space="preserve"> dnů/rok</w:t>
      </w:r>
    </w:p>
    <w:p w:rsidR="00123484" w:rsidRPr="00DB765F" w:rsidRDefault="00123484" w:rsidP="00123484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Průměrná tep</w:t>
      </w:r>
      <w:r>
        <w:rPr>
          <w:rFonts w:cs="Arial"/>
          <w:szCs w:val="22"/>
        </w:rPr>
        <w:t>lota během otopného období: +4,8</w:t>
      </w:r>
      <w:r w:rsidRPr="00DB765F">
        <w:rPr>
          <w:rFonts w:cs="Arial"/>
          <w:szCs w:val="22"/>
        </w:rPr>
        <w:t>°C</w:t>
      </w:r>
    </w:p>
    <w:p w:rsidR="00123484" w:rsidRPr="00DB765F" w:rsidRDefault="00123484" w:rsidP="00123484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Nadmořská výška Praha: 31</w:t>
      </w:r>
      <w:r w:rsidRPr="00DB765F">
        <w:rPr>
          <w:rFonts w:cs="Arial"/>
          <w:szCs w:val="22"/>
        </w:rPr>
        <w:t xml:space="preserve">1m </w:t>
      </w:r>
      <w:proofErr w:type="gramStart"/>
      <w:r w:rsidRPr="00DB765F">
        <w:rPr>
          <w:rFonts w:cs="Arial"/>
          <w:szCs w:val="22"/>
        </w:rPr>
        <w:t>n.m.</w:t>
      </w:r>
      <w:proofErr w:type="gramEnd"/>
    </w:p>
    <w:p w:rsidR="008B0832" w:rsidRDefault="008B0832" w:rsidP="008B0832">
      <w:pPr>
        <w:pStyle w:val="Nadpis1"/>
      </w:pPr>
      <w:bookmarkStart w:id="18" w:name="_Toc24465055"/>
      <w:r>
        <w:t>Popis technického ŘEŠENÍ</w:t>
      </w:r>
      <w:bookmarkEnd w:id="17"/>
      <w:bookmarkEnd w:id="18"/>
    </w:p>
    <w:p w:rsidR="001802F0" w:rsidRDefault="001802F0" w:rsidP="001802F0">
      <w:pPr>
        <w:pStyle w:val="Nadpis2"/>
      </w:pPr>
      <w:r>
        <w:t xml:space="preserve"> </w:t>
      </w:r>
      <w:bookmarkStart w:id="19" w:name="_Toc24465056"/>
      <w:r>
        <w:t>Energetická náročnost</w:t>
      </w:r>
      <w:bookmarkEnd w:id="19"/>
    </w:p>
    <w:p w:rsidR="001802F0" w:rsidRDefault="001802F0" w:rsidP="001802F0">
      <w:r>
        <w:t xml:space="preserve">Tepelné ztráty objektu byly počítány dle ČSN EN 12831 „Tepelné soustavy v budovách – Výpočet tepelného výkonu“ pro výpočtovou oblastní teplotu </w:t>
      </w:r>
      <w:proofErr w:type="spellStart"/>
      <w:r>
        <w:t>te</w:t>
      </w:r>
      <w:proofErr w:type="spellEnd"/>
      <w:r>
        <w:t>= -15°C., kdy v jednotlivých místnostech se dosáhne teplot vyznačených ve výkresech.</w:t>
      </w:r>
    </w:p>
    <w:p w:rsidR="001802F0" w:rsidRDefault="001802F0" w:rsidP="001802F0">
      <w:r>
        <w:t xml:space="preserve">Stavební konstrukce objektu z hlediska tepelně-technických vlastností vyhovuje ČSN 730540 v platném znění. Při výpočtu tepelných ztrát se uvažuje s nuceným větráním místností podle části PD VZT. </w:t>
      </w:r>
    </w:p>
    <w:p w:rsidR="001802F0" w:rsidRDefault="001802F0" w:rsidP="001802F0"/>
    <w:p w:rsidR="001802F0" w:rsidRDefault="001802F0" w:rsidP="001802F0">
      <w:r>
        <w:t>Potřeba tepla hodinová:</w:t>
      </w:r>
    </w:p>
    <w:p w:rsidR="001802F0" w:rsidRDefault="001802F0" w:rsidP="001802F0">
      <w:pPr>
        <w:ind w:firstLine="0"/>
      </w:pPr>
    </w:p>
    <w:p w:rsidR="001802F0" w:rsidRDefault="001802F0" w:rsidP="001802F0">
      <w:r>
        <w:t xml:space="preserve">pro </w:t>
      </w:r>
      <w:r w:rsidR="00656FFE">
        <w:t>vytápění UT</w:t>
      </w:r>
      <w:r w:rsidR="00656FFE">
        <w:tab/>
      </w:r>
      <w:r w:rsidR="00656FFE">
        <w:tab/>
      </w:r>
      <w:r w:rsidR="00656FFE">
        <w:tab/>
      </w:r>
      <w:r w:rsidR="00656FFE">
        <w:tab/>
      </w:r>
      <w:r w:rsidR="00656FFE">
        <w:tab/>
      </w:r>
      <w:r>
        <w:tab/>
      </w:r>
      <w:r>
        <w:tab/>
        <w:t>Q</w:t>
      </w:r>
      <w:r w:rsidR="00656FFE">
        <w:rPr>
          <w:vertAlign w:val="subscript"/>
        </w:rPr>
        <w:t>UT</w:t>
      </w:r>
      <w:r>
        <w:t xml:space="preserve"> = </w:t>
      </w:r>
      <w:r w:rsidR="00123484">
        <w:t>7,9</w:t>
      </w:r>
      <w:r>
        <w:t xml:space="preserve"> kW</w:t>
      </w:r>
    </w:p>
    <w:p w:rsidR="00656FFE" w:rsidRDefault="00656FFE" w:rsidP="00656FFE">
      <w:r>
        <w:t>pro ohřev VZT jednotek s teplovodním ohřevem</w:t>
      </w:r>
      <w:r>
        <w:tab/>
      </w:r>
      <w:r>
        <w:tab/>
        <w:t>Q</w:t>
      </w:r>
      <w:r w:rsidRPr="001802F0">
        <w:rPr>
          <w:vertAlign w:val="subscript"/>
        </w:rPr>
        <w:t>VZT</w:t>
      </w:r>
      <w:r w:rsidR="00123484">
        <w:t xml:space="preserve"> = 73,4</w:t>
      </w:r>
      <w:r>
        <w:t xml:space="preserve"> kW</w:t>
      </w:r>
    </w:p>
    <w:p w:rsidR="001802F0" w:rsidRPr="00656FFE" w:rsidRDefault="001802F0" w:rsidP="001802F0">
      <w:pPr>
        <w:rPr>
          <w:b/>
        </w:rPr>
      </w:pPr>
      <w:r w:rsidRPr="00656FFE">
        <w:rPr>
          <w:b/>
        </w:rPr>
        <w:t>Celkem:</w:t>
      </w:r>
      <w:r w:rsidRPr="00656FFE">
        <w:rPr>
          <w:b/>
        </w:rPr>
        <w:tab/>
        <w:t xml:space="preserve"> </w:t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proofErr w:type="spellStart"/>
      <w:r w:rsidRPr="00656FFE">
        <w:rPr>
          <w:b/>
        </w:rPr>
        <w:t>Qcelk</w:t>
      </w:r>
      <w:proofErr w:type="spellEnd"/>
      <w:r w:rsidRPr="00656FFE">
        <w:rPr>
          <w:b/>
        </w:rPr>
        <w:t xml:space="preserve"> = </w:t>
      </w:r>
      <w:r w:rsidR="00123484">
        <w:rPr>
          <w:b/>
        </w:rPr>
        <w:t>81,3</w:t>
      </w:r>
      <w:r w:rsidRPr="00656FFE">
        <w:rPr>
          <w:b/>
        </w:rPr>
        <w:t xml:space="preserve"> kW</w:t>
      </w:r>
    </w:p>
    <w:p w:rsidR="001802F0" w:rsidRDefault="001802F0" w:rsidP="001802F0"/>
    <w:p w:rsidR="001802F0" w:rsidRDefault="001802F0" w:rsidP="001802F0"/>
    <w:p w:rsidR="001802F0" w:rsidRDefault="001802F0" w:rsidP="001802F0">
      <w:r>
        <w:t>Stanovení přípojné hodnoty pro zdroj tepla podle ČSN 06 310:</w:t>
      </w:r>
    </w:p>
    <w:p w:rsidR="001802F0" w:rsidRDefault="001802F0" w:rsidP="001802F0">
      <w:r>
        <w:t xml:space="preserve">      Qprip1= 0,7x (Q</w:t>
      </w:r>
      <w:r w:rsidR="00656FFE">
        <w:rPr>
          <w:vertAlign w:val="subscript"/>
        </w:rPr>
        <w:t>UT</w:t>
      </w:r>
      <w:r>
        <w:t xml:space="preserve"> + Q</w:t>
      </w:r>
      <w:r w:rsidRPr="00656FFE">
        <w:rPr>
          <w:vertAlign w:val="subscript"/>
        </w:rPr>
        <w:t>VET</w:t>
      </w:r>
      <w:r>
        <w:t>) + Q</w:t>
      </w:r>
      <w:r w:rsidRPr="00656FFE">
        <w:rPr>
          <w:vertAlign w:val="subscript"/>
        </w:rPr>
        <w:t>TV</w:t>
      </w:r>
      <w:r>
        <w:t xml:space="preserve"> = 0,7x (</w:t>
      </w:r>
      <w:r w:rsidR="00123484">
        <w:t>7,9</w:t>
      </w:r>
      <w:r>
        <w:t xml:space="preserve">+ </w:t>
      </w:r>
      <w:r w:rsidR="00123484">
        <w:t>73,4</w:t>
      </w:r>
      <w:r>
        <w:t xml:space="preserve">) + 0 = </w:t>
      </w:r>
      <w:r w:rsidR="00123484">
        <w:t>56,91</w:t>
      </w:r>
      <w:r>
        <w:t xml:space="preserve"> kW</w:t>
      </w:r>
    </w:p>
    <w:p w:rsidR="001802F0" w:rsidRDefault="001802F0" w:rsidP="001802F0">
      <w:r>
        <w:t xml:space="preserve">      Qprip2= 1x Q</w:t>
      </w:r>
      <w:r w:rsidR="00656FFE" w:rsidRPr="00656FFE">
        <w:rPr>
          <w:vertAlign w:val="subscript"/>
        </w:rPr>
        <w:t>UT</w:t>
      </w:r>
      <w:r>
        <w:t xml:space="preserve"> + 1x Q</w:t>
      </w:r>
      <w:r w:rsidRPr="00656FFE">
        <w:rPr>
          <w:vertAlign w:val="subscript"/>
        </w:rPr>
        <w:t>VET</w:t>
      </w:r>
      <w:r>
        <w:t xml:space="preserve"> = </w:t>
      </w:r>
      <w:r w:rsidR="00656FFE">
        <w:t>7,</w:t>
      </w:r>
      <w:r w:rsidR="00123484">
        <w:t>9+73,4</w:t>
      </w:r>
      <w:r>
        <w:t xml:space="preserve"> = </w:t>
      </w:r>
      <w:r w:rsidR="00123484">
        <w:t>81,3</w:t>
      </w:r>
      <w:r>
        <w:t xml:space="preserve"> kW</w:t>
      </w:r>
    </w:p>
    <w:p w:rsidR="00867697" w:rsidRDefault="00867697" w:rsidP="001802F0"/>
    <w:p w:rsidR="001802F0" w:rsidRDefault="001802F0" w:rsidP="001802F0">
      <w:r>
        <w:t>Jako hlavní zdroj tepla je navržena kompaktní výměníková stanice - viz. SOD IV Objekty oprav a údržby tramvají (OUT)</w:t>
      </w:r>
    </w:p>
    <w:p w:rsidR="001802F0" w:rsidRDefault="001802F0" w:rsidP="001802F0"/>
    <w:p w:rsidR="001802F0" w:rsidRDefault="001802F0" w:rsidP="001802F0">
      <w:r>
        <w:lastRenderedPageBreak/>
        <w:t>Roční spotřeba energie na vytápění:</w:t>
      </w:r>
      <w:r>
        <w:tab/>
      </w:r>
      <w:r>
        <w:tab/>
      </w:r>
      <w:r>
        <w:tab/>
      </w:r>
      <w:r w:rsidR="00585B95">
        <w:t xml:space="preserve">132,6 </w:t>
      </w:r>
      <w:proofErr w:type="spellStart"/>
      <w:r w:rsidR="00585B95">
        <w:t>M</w:t>
      </w:r>
      <w:r>
        <w:t>Wh</w:t>
      </w:r>
      <w:proofErr w:type="spellEnd"/>
      <w:r>
        <w:t xml:space="preserve">/rok = </w:t>
      </w:r>
      <w:r w:rsidR="00585B95">
        <w:t>477,4</w:t>
      </w:r>
      <w:r>
        <w:t xml:space="preserve"> GJ </w:t>
      </w:r>
    </w:p>
    <w:p w:rsidR="001802F0" w:rsidRDefault="001802F0" w:rsidP="001802F0">
      <w:r>
        <w:t>(Výpočet potřeby tepla podle ČSN EN ISO 13790)</w:t>
      </w:r>
    </w:p>
    <w:p w:rsidR="001802F0" w:rsidRDefault="001802F0" w:rsidP="001802F0"/>
    <w:p w:rsidR="001802F0" w:rsidRDefault="001802F0" w:rsidP="001802F0"/>
    <w:p w:rsidR="001802F0" w:rsidRPr="00B6432A" w:rsidRDefault="001802F0" w:rsidP="001802F0">
      <w:pPr>
        <w:rPr>
          <w:b/>
        </w:rPr>
      </w:pPr>
      <w:r w:rsidRPr="00B6432A">
        <w:rPr>
          <w:b/>
        </w:rPr>
        <w:t>Celková roční spotřeba energie:</w:t>
      </w:r>
      <w:r w:rsidRPr="00B6432A">
        <w:rPr>
          <w:b/>
        </w:rPr>
        <w:tab/>
      </w:r>
      <w:r w:rsidRPr="00B6432A">
        <w:rPr>
          <w:b/>
        </w:rPr>
        <w:tab/>
      </w:r>
      <w:r w:rsidRPr="00B6432A">
        <w:rPr>
          <w:b/>
        </w:rPr>
        <w:tab/>
      </w:r>
      <w:r w:rsidRPr="00B6432A">
        <w:rPr>
          <w:b/>
        </w:rPr>
        <w:tab/>
        <w:t xml:space="preserve"> </w:t>
      </w:r>
      <w:r w:rsidR="00585B95">
        <w:rPr>
          <w:b/>
        </w:rPr>
        <w:t xml:space="preserve">132,6 </w:t>
      </w:r>
      <w:proofErr w:type="spellStart"/>
      <w:r w:rsidR="00585B95">
        <w:rPr>
          <w:b/>
        </w:rPr>
        <w:t>M</w:t>
      </w:r>
      <w:r w:rsidR="00B6432A" w:rsidRPr="00B6432A">
        <w:rPr>
          <w:b/>
        </w:rPr>
        <w:t>Wh</w:t>
      </w:r>
      <w:proofErr w:type="spellEnd"/>
      <w:r w:rsidR="00B6432A" w:rsidRPr="00B6432A">
        <w:rPr>
          <w:b/>
        </w:rPr>
        <w:t xml:space="preserve">/rok = </w:t>
      </w:r>
      <w:r w:rsidR="00585B95">
        <w:rPr>
          <w:b/>
        </w:rPr>
        <w:t>477,4</w:t>
      </w:r>
      <w:r w:rsidR="00B6432A" w:rsidRPr="00B6432A">
        <w:rPr>
          <w:b/>
        </w:rPr>
        <w:t xml:space="preserve"> GJ</w:t>
      </w:r>
    </w:p>
    <w:p w:rsidR="00E717CF" w:rsidRPr="0032584A" w:rsidRDefault="00867697" w:rsidP="00C4423E">
      <w:pPr>
        <w:pStyle w:val="Nadpis2"/>
      </w:pPr>
      <w:bookmarkStart w:id="20" w:name="_Toc1040356"/>
      <w:bookmarkStart w:id="21" w:name="_Toc24465057"/>
      <w:r>
        <w:t>Koncept</w:t>
      </w:r>
      <w:r w:rsidR="00E717CF">
        <w:t xml:space="preserve"> vytápění </w:t>
      </w:r>
      <w:bookmarkEnd w:id="20"/>
      <w:r w:rsidR="00892238">
        <w:t>dílenský prostor a garáží.</w:t>
      </w:r>
      <w:bookmarkEnd w:id="21"/>
    </w:p>
    <w:p w:rsidR="00867697" w:rsidRPr="00867697" w:rsidRDefault="00867697" w:rsidP="00867697">
      <w:pPr>
        <w:spacing w:before="120" w:after="0"/>
        <w:ind w:left="426" w:firstLine="0"/>
        <w:contextualSpacing w:val="0"/>
        <w:rPr>
          <w:rFonts w:cs="Tahoma"/>
        </w:rPr>
      </w:pPr>
      <w:r w:rsidRPr="00CB024D">
        <w:rPr>
          <w:rFonts w:cs="Tahoma"/>
        </w:rPr>
        <w:t xml:space="preserve">Jako hlavní zdroj tepla je navržena </w:t>
      </w:r>
      <w:r>
        <w:rPr>
          <w:rFonts w:cs="Tahoma"/>
        </w:rPr>
        <w:t xml:space="preserve">kompaktní </w:t>
      </w:r>
      <w:r w:rsidRPr="00CB024D">
        <w:rPr>
          <w:rFonts w:cs="Tahoma"/>
        </w:rPr>
        <w:t xml:space="preserve">výměníková stanice </w:t>
      </w:r>
      <w:r>
        <w:rPr>
          <w:rFonts w:cs="Tahoma"/>
        </w:rPr>
        <w:t xml:space="preserve">- viz. </w:t>
      </w:r>
      <w:r w:rsidRPr="00585C93">
        <w:rPr>
          <w:rFonts w:cs="Tahoma"/>
        </w:rPr>
        <w:t>SOD IV Objekty oprav a údržby tramvají (OUT)</w:t>
      </w:r>
    </w:p>
    <w:p w:rsidR="00867697" w:rsidRPr="00867697" w:rsidRDefault="00E717CF" w:rsidP="00867697">
      <w:pPr>
        <w:kinsoku w:val="0"/>
        <w:overflowPunct w:val="0"/>
        <w:autoSpaceDE w:val="0"/>
        <w:autoSpaceDN w:val="0"/>
        <w:adjustRightInd w:val="0"/>
        <w:spacing w:after="0" w:line="224" w:lineRule="exact"/>
        <w:ind w:left="176" w:right="126"/>
        <w:rPr>
          <w:rFonts w:cs="Arial"/>
          <w:szCs w:val="22"/>
        </w:rPr>
      </w:pPr>
      <w:r w:rsidRPr="00867697">
        <w:rPr>
          <w:rFonts w:cs="Tahoma"/>
          <w:szCs w:val="22"/>
        </w:rPr>
        <w:t>V</w:t>
      </w:r>
      <w:r w:rsidR="001802F0" w:rsidRPr="00867697">
        <w:rPr>
          <w:rFonts w:cs="Tahoma"/>
          <w:szCs w:val="22"/>
        </w:rPr>
        <w:t> halách dílen a garáží</w:t>
      </w:r>
      <w:r w:rsidRPr="00867697">
        <w:rPr>
          <w:rFonts w:cs="Tahoma"/>
          <w:szCs w:val="22"/>
        </w:rPr>
        <w:t xml:space="preserve"> je navrženo vytápění </w:t>
      </w:r>
      <w:r w:rsidR="00F111DE" w:rsidRPr="00867697">
        <w:rPr>
          <w:rFonts w:cs="Tahoma"/>
          <w:szCs w:val="22"/>
        </w:rPr>
        <w:t xml:space="preserve">pomocí </w:t>
      </w:r>
      <w:r w:rsidR="001802F0" w:rsidRPr="00867697">
        <w:rPr>
          <w:rFonts w:cs="Tahoma"/>
          <w:szCs w:val="22"/>
        </w:rPr>
        <w:t>3</w:t>
      </w:r>
      <w:r w:rsidR="00F111DE" w:rsidRPr="00867697">
        <w:rPr>
          <w:rFonts w:cs="Tahoma"/>
          <w:szCs w:val="22"/>
        </w:rPr>
        <w:t>x VZT jednotek</w:t>
      </w:r>
      <w:r w:rsidRPr="00867697">
        <w:rPr>
          <w:rFonts w:cs="Tahoma"/>
          <w:szCs w:val="22"/>
        </w:rPr>
        <w:t xml:space="preserve"> č. 1</w:t>
      </w:r>
      <w:r w:rsidR="00892238" w:rsidRPr="00867697">
        <w:rPr>
          <w:rFonts w:cs="Tahoma"/>
          <w:szCs w:val="22"/>
        </w:rPr>
        <w:t>0</w:t>
      </w:r>
      <w:r w:rsidRPr="00867697">
        <w:rPr>
          <w:rFonts w:cs="Tahoma"/>
          <w:szCs w:val="22"/>
        </w:rPr>
        <w:t>.</w:t>
      </w:r>
      <w:r w:rsidR="00F111DE" w:rsidRPr="00867697">
        <w:rPr>
          <w:rFonts w:cs="Tahoma"/>
          <w:szCs w:val="22"/>
        </w:rPr>
        <w:t>00</w:t>
      </w:r>
      <w:r w:rsidRPr="00867697">
        <w:rPr>
          <w:rFonts w:cs="Tahoma"/>
          <w:szCs w:val="22"/>
        </w:rPr>
        <w:t>1</w:t>
      </w:r>
      <w:r w:rsidR="00892238" w:rsidRPr="00867697">
        <w:rPr>
          <w:rFonts w:cs="Tahoma"/>
          <w:szCs w:val="22"/>
        </w:rPr>
        <w:t>, 17.001 a 18.001 ve venkovním provedení, které jsou umístěné na střeše objektu</w:t>
      </w:r>
      <w:r w:rsidR="00867697" w:rsidRPr="00867697">
        <w:rPr>
          <w:rFonts w:cs="Tahoma"/>
          <w:szCs w:val="22"/>
        </w:rPr>
        <w:t xml:space="preserve"> SOD I</w:t>
      </w:r>
      <w:r w:rsidR="00867697">
        <w:rPr>
          <w:rFonts w:cs="Tahoma"/>
          <w:szCs w:val="22"/>
        </w:rPr>
        <w:t>V</w:t>
      </w:r>
      <w:r w:rsidR="00867697" w:rsidRPr="00867697">
        <w:rPr>
          <w:rFonts w:cs="Tahoma"/>
          <w:szCs w:val="22"/>
        </w:rPr>
        <w:t xml:space="preserve"> OUT</w:t>
      </w:r>
      <w:r w:rsidR="001802F0" w:rsidRPr="00867697">
        <w:rPr>
          <w:rFonts w:cs="Tahoma"/>
          <w:szCs w:val="22"/>
        </w:rPr>
        <w:t>. Dvoupatrová administrativně provozní část objektu je vytápěna pomocí deskových těles v kombinaci s VZT jednotkou</w:t>
      </w:r>
      <w:r w:rsidR="00892238" w:rsidRPr="00867697">
        <w:rPr>
          <w:rFonts w:cs="Tahoma"/>
          <w:szCs w:val="22"/>
        </w:rPr>
        <w:t xml:space="preserve"> č. 11.001 (vnitřní provedení), která</w:t>
      </w:r>
      <w:r w:rsidRPr="00867697">
        <w:rPr>
          <w:rFonts w:cs="Tahoma"/>
          <w:szCs w:val="22"/>
        </w:rPr>
        <w:t xml:space="preserve"> j</w:t>
      </w:r>
      <w:r w:rsidR="00892238" w:rsidRPr="00867697">
        <w:rPr>
          <w:rFonts w:cs="Tahoma"/>
          <w:szCs w:val="22"/>
        </w:rPr>
        <w:t>e umístěná pod stropem místnosti 13.34 v 2.NP</w:t>
      </w:r>
      <w:r w:rsidR="00F111DE" w:rsidRPr="00867697">
        <w:rPr>
          <w:rFonts w:cs="Tahoma"/>
          <w:szCs w:val="22"/>
        </w:rPr>
        <w:t>.</w:t>
      </w:r>
      <w:r w:rsidR="00867697" w:rsidRPr="00867697">
        <w:rPr>
          <w:rFonts w:cs="Tahoma"/>
          <w:szCs w:val="22"/>
        </w:rPr>
        <w:t xml:space="preserve"> </w:t>
      </w:r>
      <w:r w:rsidR="00867697" w:rsidRPr="00867697">
        <w:rPr>
          <w:rFonts w:cs="Arial"/>
          <w:spacing w:val="1"/>
          <w:szCs w:val="22"/>
        </w:rPr>
        <w:t>V</w:t>
      </w:r>
      <w:r w:rsidR="00867697" w:rsidRPr="00867697">
        <w:rPr>
          <w:rFonts w:cs="Arial"/>
          <w:spacing w:val="-2"/>
          <w:szCs w:val="22"/>
        </w:rPr>
        <w:t>z</w:t>
      </w:r>
      <w:r w:rsidR="00867697" w:rsidRPr="00867697">
        <w:rPr>
          <w:rFonts w:cs="Arial"/>
          <w:spacing w:val="-1"/>
          <w:szCs w:val="22"/>
        </w:rPr>
        <w:t>du</w:t>
      </w:r>
      <w:r w:rsidR="00867697" w:rsidRPr="00867697">
        <w:rPr>
          <w:rFonts w:cs="Arial"/>
          <w:spacing w:val="1"/>
          <w:szCs w:val="22"/>
        </w:rPr>
        <w:t>c</w:t>
      </w:r>
      <w:r w:rsidR="00867697" w:rsidRPr="00867697">
        <w:rPr>
          <w:rFonts w:cs="Arial"/>
          <w:spacing w:val="-1"/>
          <w:szCs w:val="22"/>
        </w:rPr>
        <w:t>ho</w:t>
      </w:r>
      <w:r w:rsidR="00867697" w:rsidRPr="00867697">
        <w:rPr>
          <w:rFonts w:cs="Arial"/>
          <w:spacing w:val="2"/>
          <w:szCs w:val="22"/>
        </w:rPr>
        <w:t>t</w:t>
      </w:r>
      <w:r w:rsidR="00867697" w:rsidRPr="00867697">
        <w:rPr>
          <w:rFonts w:cs="Arial"/>
          <w:spacing w:val="-1"/>
          <w:szCs w:val="22"/>
        </w:rPr>
        <w:t>e</w:t>
      </w:r>
      <w:r w:rsidR="00867697" w:rsidRPr="00867697">
        <w:rPr>
          <w:rFonts w:cs="Arial"/>
          <w:spacing w:val="1"/>
          <w:szCs w:val="22"/>
        </w:rPr>
        <w:t>c</w:t>
      </w:r>
      <w:r w:rsidR="00867697" w:rsidRPr="00867697">
        <w:rPr>
          <w:rFonts w:cs="Arial"/>
          <w:spacing w:val="-1"/>
          <w:szCs w:val="22"/>
        </w:rPr>
        <w:t>h</w:t>
      </w:r>
      <w:r w:rsidR="00867697" w:rsidRPr="00867697">
        <w:rPr>
          <w:rFonts w:cs="Arial"/>
          <w:spacing w:val="2"/>
          <w:szCs w:val="22"/>
        </w:rPr>
        <w:t>n</w:t>
      </w:r>
      <w:r w:rsidR="00867697" w:rsidRPr="00867697">
        <w:rPr>
          <w:rFonts w:cs="Arial"/>
          <w:spacing w:val="-1"/>
          <w:szCs w:val="22"/>
        </w:rPr>
        <w:t>i</w:t>
      </w:r>
      <w:r w:rsidR="00867697" w:rsidRPr="00867697">
        <w:rPr>
          <w:rFonts w:cs="Arial"/>
          <w:spacing w:val="3"/>
          <w:szCs w:val="22"/>
        </w:rPr>
        <w:t>k</w:t>
      </w:r>
      <w:r w:rsidR="00867697" w:rsidRPr="00867697">
        <w:rPr>
          <w:rFonts w:cs="Arial"/>
          <w:szCs w:val="22"/>
        </w:rPr>
        <w:t>a</w:t>
      </w:r>
      <w:r w:rsidR="00867697" w:rsidRPr="00867697">
        <w:rPr>
          <w:rFonts w:cs="Arial"/>
          <w:spacing w:val="-9"/>
          <w:szCs w:val="22"/>
        </w:rPr>
        <w:t xml:space="preserve"> </w:t>
      </w:r>
      <w:r w:rsidR="00867697" w:rsidRPr="00867697">
        <w:rPr>
          <w:rFonts w:cs="Arial"/>
          <w:spacing w:val="1"/>
          <w:szCs w:val="22"/>
        </w:rPr>
        <w:t>j</w:t>
      </w:r>
      <w:r w:rsidR="00867697" w:rsidRPr="00867697">
        <w:rPr>
          <w:rFonts w:cs="Arial"/>
          <w:szCs w:val="22"/>
        </w:rPr>
        <w:t>e</w:t>
      </w:r>
      <w:r w:rsidR="00867697" w:rsidRPr="00867697">
        <w:rPr>
          <w:rFonts w:cs="Arial"/>
          <w:spacing w:val="-8"/>
          <w:szCs w:val="22"/>
        </w:rPr>
        <w:t xml:space="preserve"> </w:t>
      </w:r>
      <w:r w:rsidR="00867697" w:rsidRPr="00867697">
        <w:rPr>
          <w:rFonts w:cs="Arial"/>
          <w:spacing w:val="-1"/>
          <w:szCs w:val="22"/>
        </w:rPr>
        <w:t>napo</w:t>
      </w:r>
      <w:r w:rsidR="00867697" w:rsidRPr="00867697">
        <w:rPr>
          <w:rFonts w:cs="Arial"/>
          <w:spacing w:val="1"/>
          <w:szCs w:val="22"/>
        </w:rPr>
        <w:t>j</w:t>
      </w:r>
      <w:r w:rsidR="00867697" w:rsidRPr="00867697">
        <w:rPr>
          <w:rFonts w:cs="Arial"/>
          <w:spacing w:val="2"/>
          <w:szCs w:val="22"/>
        </w:rPr>
        <w:t>e</w:t>
      </w:r>
      <w:r w:rsidR="00867697" w:rsidRPr="00867697">
        <w:rPr>
          <w:rFonts w:cs="Arial"/>
          <w:spacing w:val="-1"/>
          <w:szCs w:val="22"/>
        </w:rPr>
        <w:t>n</w:t>
      </w:r>
      <w:r w:rsidR="00867697" w:rsidRPr="00867697">
        <w:rPr>
          <w:rFonts w:cs="Arial"/>
          <w:szCs w:val="22"/>
        </w:rPr>
        <w:t>a</w:t>
      </w:r>
      <w:r w:rsidR="00867697" w:rsidRPr="00867697">
        <w:rPr>
          <w:rFonts w:cs="Arial"/>
          <w:spacing w:val="-8"/>
          <w:szCs w:val="22"/>
        </w:rPr>
        <w:t xml:space="preserve"> </w:t>
      </w:r>
      <w:r w:rsidR="00867697" w:rsidRPr="00867697">
        <w:rPr>
          <w:rFonts w:cs="Arial"/>
          <w:spacing w:val="2"/>
          <w:szCs w:val="22"/>
        </w:rPr>
        <w:t>n</w:t>
      </w:r>
      <w:r w:rsidR="00867697" w:rsidRPr="00867697">
        <w:rPr>
          <w:rFonts w:cs="Arial"/>
          <w:szCs w:val="22"/>
        </w:rPr>
        <w:t>a</w:t>
      </w:r>
      <w:r w:rsidR="00867697" w:rsidRPr="00867697">
        <w:rPr>
          <w:rFonts w:cs="Arial"/>
          <w:spacing w:val="-8"/>
          <w:szCs w:val="22"/>
        </w:rPr>
        <w:t xml:space="preserve"> </w:t>
      </w:r>
      <w:r w:rsidR="00867697" w:rsidRPr="00867697">
        <w:rPr>
          <w:rFonts w:cs="Arial"/>
          <w:spacing w:val="1"/>
          <w:szCs w:val="22"/>
        </w:rPr>
        <w:t>s</w:t>
      </w:r>
      <w:r w:rsidR="00867697" w:rsidRPr="00867697">
        <w:rPr>
          <w:rFonts w:cs="Arial"/>
          <w:spacing w:val="-1"/>
          <w:szCs w:val="22"/>
        </w:rPr>
        <w:t>a</w:t>
      </w:r>
      <w:r w:rsidR="00867697" w:rsidRPr="00867697">
        <w:rPr>
          <w:rFonts w:cs="Arial"/>
          <w:spacing w:val="4"/>
          <w:szCs w:val="22"/>
        </w:rPr>
        <w:t>m</w:t>
      </w:r>
      <w:r w:rsidR="00867697" w:rsidRPr="00867697">
        <w:rPr>
          <w:rFonts w:cs="Arial"/>
          <w:spacing w:val="-1"/>
          <w:szCs w:val="22"/>
        </w:rPr>
        <w:t>o</w:t>
      </w:r>
      <w:r w:rsidR="00867697" w:rsidRPr="00867697">
        <w:rPr>
          <w:rFonts w:cs="Arial"/>
          <w:spacing w:val="1"/>
          <w:szCs w:val="22"/>
        </w:rPr>
        <w:t>s</w:t>
      </w:r>
      <w:r w:rsidR="00867697" w:rsidRPr="00867697">
        <w:rPr>
          <w:rFonts w:cs="Arial"/>
          <w:spacing w:val="-1"/>
          <w:szCs w:val="22"/>
        </w:rPr>
        <w:t>tatno</w:t>
      </w:r>
      <w:r w:rsidR="00867697" w:rsidRPr="00867697">
        <w:rPr>
          <w:rFonts w:cs="Arial"/>
          <w:szCs w:val="22"/>
        </w:rPr>
        <w:t>u</w:t>
      </w:r>
      <w:r w:rsidR="00867697" w:rsidRPr="00867697">
        <w:rPr>
          <w:rFonts w:cs="Arial"/>
          <w:spacing w:val="-8"/>
          <w:szCs w:val="22"/>
        </w:rPr>
        <w:t xml:space="preserve"> </w:t>
      </w:r>
      <w:r w:rsidR="00867697" w:rsidRPr="00867697">
        <w:rPr>
          <w:rFonts w:cs="Arial"/>
          <w:spacing w:val="2"/>
          <w:szCs w:val="22"/>
        </w:rPr>
        <w:t>t</w:t>
      </w:r>
      <w:r w:rsidR="00867697" w:rsidRPr="00867697">
        <w:rPr>
          <w:rFonts w:cs="Arial"/>
          <w:spacing w:val="-1"/>
          <w:szCs w:val="22"/>
        </w:rPr>
        <w:t>op</w:t>
      </w:r>
      <w:r w:rsidR="00867697" w:rsidRPr="00867697">
        <w:rPr>
          <w:rFonts w:cs="Arial"/>
          <w:spacing w:val="2"/>
          <w:szCs w:val="22"/>
        </w:rPr>
        <w:t>n</w:t>
      </w:r>
      <w:r w:rsidR="00867697" w:rsidRPr="00867697">
        <w:rPr>
          <w:rFonts w:cs="Arial"/>
          <w:spacing w:val="-1"/>
          <w:szCs w:val="22"/>
        </w:rPr>
        <w:t>o</w:t>
      </w:r>
      <w:r w:rsidR="00867697" w:rsidRPr="00867697">
        <w:rPr>
          <w:rFonts w:cs="Arial"/>
          <w:szCs w:val="22"/>
        </w:rPr>
        <w:t>u</w:t>
      </w:r>
      <w:r w:rsidR="00867697" w:rsidRPr="00867697">
        <w:rPr>
          <w:rFonts w:cs="Arial"/>
          <w:spacing w:val="-7"/>
          <w:szCs w:val="22"/>
        </w:rPr>
        <w:t xml:space="preserve"> </w:t>
      </w:r>
      <w:r w:rsidR="00867697" w:rsidRPr="00867697">
        <w:rPr>
          <w:rFonts w:cs="Arial"/>
          <w:spacing w:val="-2"/>
          <w:szCs w:val="22"/>
        </w:rPr>
        <w:t>v</w:t>
      </w:r>
      <w:r w:rsidR="00867697" w:rsidRPr="00867697">
        <w:rPr>
          <w:rFonts w:cs="Arial"/>
          <w:spacing w:val="-1"/>
          <w:szCs w:val="22"/>
        </w:rPr>
        <w:t>ě</w:t>
      </w:r>
      <w:r w:rsidR="00867697" w:rsidRPr="00867697">
        <w:rPr>
          <w:rFonts w:cs="Arial"/>
          <w:spacing w:val="2"/>
          <w:szCs w:val="22"/>
        </w:rPr>
        <w:t>t</w:t>
      </w:r>
      <w:r w:rsidR="00867697" w:rsidRPr="00867697">
        <w:rPr>
          <w:rFonts w:cs="Arial"/>
          <w:spacing w:val="-1"/>
          <w:szCs w:val="22"/>
        </w:rPr>
        <w:t>e</w:t>
      </w:r>
      <w:r w:rsidR="00867697" w:rsidRPr="00867697">
        <w:rPr>
          <w:rFonts w:cs="Arial"/>
          <w:szCs w:val="22"/>
        </w:rPr>
        <w:t>v</w:t>
      </w:r>
      <w:r w:rsidR="00867697" w:rsidRPr="00867697">
        <w:rPr>
          <w:rFonts w:cs="Arial"/>
          <w:spacing w:val="-9"/>
          <w:szCs w:val="22"/>
        </w:rPr>
        <w:t xml:space="preserve"> </w:t>
      </w:r>
      <w:r w:rsidR="00867697" w:rsidRPr="00867697">
        <w:rPr>
          <w:rFonts w:cs="Arial"/>
          <w:szCs w:val="22"/>
        </w:rPr>
        <w:t>s</w:t>
      </w:r>
      <w:r w:rsidR="00867697" w:rsidRPr="00867697">
        <w:rPr>
          <w:rFonts w:cs="Arial"/>
          <w:spacing w:val="-7"/>
          <w:szCs w:val="22"/>
        </w:rPr>
        <w:t xml:space="preserve"> </w:t>
      </w:r>
      <w:r w:rsidR="00867697" w:rsidRPr="00867697">
        <w:rPr>
          <w:rFonts w:cs="Arial"/>
          <w:spacing w:val="2"/>
          <w:szCs w:val="22"/>
        </w:rPr>
        <w:t>t</w:t>
      </w:r>
      <w:r w:rsidR="00867697" w:rsidRPr="00867697">
        <w:rPr>
          <w:rFonts w:cs="Arial"/>
          <w:spacing w:val="-1"/>
          <w:szCs w:val="22"/>
        </w:rPr>
        <w:t>e</w:t>
      </w:r>
      <w:r w:rsidR="00867697" w:rsidRPr="00867697">
        <w:rPr>
          <w:rFonts w:cs="Arial"/>
          <w:spacing w:val="2"/>
          <w:szCs w:val="22"/>
        </w:rPr>
        <w:t>p</w:t>
      </w:r>
      <w:r w:rsidR="00867697" w:rsidRPr="00867697">
        <w:rPr>
          <w:rFonts w:cs="Arial"/>
          <w:spacing w:val="-1"/>
          <w:szCs w:val="22"/>
        </w:rPr>
        <w:t>lot</w:t>
      </w:r>
      <w:r w:rsidR="00867697" w:rsidRPr="00867697">
        <w:rPr>
          <w:rFonts w:cs="Arial"/>
          <w:spacing w:val="2"/>
          <w:szCs w:val="22"/>
        </w:rPr>
        <w:t>n</w:t>
      </w:r>
      <w:r w:rsidR="00867697" w:rsidRPr="00867697">
        <w:rPr>
          <w:rFonts w:cs="Arial"/>
          <w:spacing w:val="-1"/>
          <w:szCs w:val="22"/>
        </w:rPr>
        <w:t>í</w:t>
      </w:r>
      <w:r w:rsidR="00867697" w:rsidRPr="00867697">
        <w:rPr>
          <w:rFonts w:cs="Arial"/>
          <w:szCs w:val="22"/>
        </w:rPr>
        <w:t>m</w:t>
      </w:r>
      <w:r w:rsidR="00867697" w:rsidRPr="00867697">
        <w:rPr>
          <w:rFonts w:cs="Arial"/>
          <w:spacing w:val="-4"/>
          <w:szCs w:val="22"/>
        </w:rPr>
        <w:t xml:space="preserve"> </w:t>
      </w:r>
      <w:r w:rsidR="00867697" w:rsidRPr="00867697">
        <w:rPr>
          <w:rFonts w:cs="Arial"/>
          <w:spacing w:val="1"/>
          <w:szCs w:val="22"/>
        </w:rPr>
        <w:t>s</w:t>
      </w:r>
      <w:r w:rsidR="00867697" w:rsidRPr="00867697">
        <w:rPr>
          <w:rFonts w:cs="Arial"/>
          <w:spacing w:val="-1"/>
          <w:szCs w:val="22"/>
        </w:rPr>
        <w:t>páde</w:t>
      </w:r>
      <w:r w:rsidR="00867697" w:rsidRPr="00867697">
        <w:rPr>
          <w:rFonts w:cs="Arial"/>
          <w:szCs w:val="22"/>
        </w:rPr>
        <w:t>m</w:t>
      </w:r>
      <w:r w:rsidR="00867697" w:rsidRPr="00867697">
        <w:rPr>
          <w:rFonts w:cs="Arial"/>
          <w:spacing w:val="-4"/>
          <w:szCs w:val="22"/>
        </w:rPr>
        <w:t xml:space="preserve"> </w:t>
      </w:r>
      <w:r w:rsidR="00867697" w:rsidRPr="00867697">
        <w:rPr>
          <w:rFonts w:cs="Arial"/>
          <w:spacing w:val="-3"/>
          <w:szCs w:val="22"/>
        </w:rPr>
        <w:t>8</w:t>
      </w:r>
      <w:r w:rsidR="00867697" w:rsidRPr="00867697">
        <w:rPr>
          <w:rFonts w:cs="Arial"/>
          <w:spacing w:val="-1"/>
          <w:szCs w:val="22"/>
        </w:rPr>
        <w:t>0/6</w:t>
      </w:r>
      <w:r w:rsidR="00867697" w:rsidRPr="00867697">
        <w:rPr>
          <w:rFonts w:cs="Arial"/>
          <w:spacing w:val="2"/>
          <w:szCs w:val="22"/>
        </w:rPr>
        <w:t>0</w:t>
      </w:r>
      <w:r w:rsidR="00867697" w:rsidRPr="00867697">
        <w:rPr>
          <w:rFonts w:cs="Arial"/>
          <w:spacing w:val="-1"/>
          <w:szCs w:val="22"/>
        </w:rPr>
        <w:t>°</w:t>
      </w:r>
      <w:r w:rsidR="00867697" w:rsidRPr="00B10C0B">
        <w:rPr>
          <w:rFonts w:cs="Arial"/>
          <w:sz w:val="20"/>
        </w:rPr>
        <w:t>C</w:t>
      </w:r>
      <w:r w:rsidR="00867697">
        <w:rPr>
          <w:rFonts w:cs="Arial"/>
          <w:sz w:val="20"/>
        </w:rPr>
        <w:t xml:space="preserve">. </w:t>
      </w:r>
      <w:r w:rsidR="00867697" w:rsidRPr="00867697">
        <w:rPr>
          <w:rFonts w:cs="Arial"/>
          <w:szCs w:val="22"/>
        </w:rPr>
        <w:t>OT jsou napojena na samostatnou větev s teplotním spádem 65/55 °C.</w:t>
      </w:r>
    </w:p>
    <w:p w:rsidR="00E717CF" w:rsidRDefault="00E717CF" w:rsidP="00E717CF">
      <w:pPr>
        <w:tabs>
          <w:tab w:val="left" w:pos="4536"/>
        </w:tabs>
        <w:ind w:left="426"/>
        <w:rPr>
          <w:rFonts w:cs="Tahoma"/>
          <w:szCs w:val="22"/>
        </w:rPr>
      </w:pPr>
    </w:p>
    <w:p w:rsidR="00F111DE" w:rsidRDefault="00F111DE" w:rsidP="00E717CF">
      <w:pPr>
        <w:tabs>
          <w:tab w:val="left" w:pos="4536"/>
        </w:tabs>
        <w:ind w:left="426"/>
        <w:rPr>
          <w:rFonts w:cs="Tahoma"/>
          <w:szCs w:val="22"/>
        </w:rPr>
      </w:pPr>
    </w:p>
    <w:p w:rsidR="00E717CF" w:rsidRPr="0032584A" w:rsidRDefault="00E717CF" w:rsidP="00C4423E">
      <w:pPr>
        <w:pStyle w:val="Nadpis2"/>
      </w:pPr>
      <w:bookmarkStart w:id="22" w:name="_Toc1040357"/>
      <w:bookmarkStart w:id="23" w:name="_Toc24465058"/>
      <w:r>
        <w:t>Napojení VZT jednotek</w:t>
      </w:r>
      <w:bookmarkEnd w:id="22"/>
      <w:bookmarkEnd w:id="23"/>
    </w:p>
    <w:p w:rsidR="00E717CF" w:rsidRDefault="001802F0" w:rsidP="00E717CF">
      <w:pPr>
        <w:tabs>
          <w:tab w:val="left" w:pos="4536"/>
        </w:tabs>
        <w:ind w:left="426"/>
        <w:rPr>
          <w:rFonts w:cs="Tahoma"/>
          <w:szCs w:val="22"/>
        </w:rPr>
      </w:pPr>
      <w:r w:rsidRPr="001802F0">
        <w:rPr>
          <w:rFonts w:cs="Tahoma"/>
          <w:szCs w:val="22"/>
        </w:rPr>
        <w:t>Napojení VZT jednotek na otopnou soustavu je navrženo přes připojovací uzle, které se skládají z tlakově nezávislých ventilů, oběhových čerpadel, statických vyvažovacích ventilů, zkratových zpětných klapek, filtrů znečistit a uzavíracích armatur. Připojovací uzle jsou navrženy pro každou VZT jednotku samostatně a jsou umístěny co nejblíž k vodním výměníkům VZT jednotek. Potrubní propoj k venkovní VZT jednotce je ochráněn topnými samo-regulačními kabely (dodávkou profese silnoproud, pro 100% jistotu, že ochrana proti zamrznutí bude funkční by měly být kabely zálohovány). Rozhraní dodávek mezi VZT a UT směšovací uzel a napojení až po hrdla výměníku dodávka UT.</w:t>
      </w:r>
    </w:p>
    <w:p w:rsidR="00E717CF" w:rsidRDefault="00E717CF" w:rsidP="00E717CF"/>
    <w:p w:rsidR="00B6432A" w:rsidRPr="00B6432A" w:rsidRDefault="00B6432A" w:rsidP="00B6432A">
      <w:pPr>
        <w:pStyle w:val="Nadpis2"/>
      </w:pPr>
      <w:bookmarkStart w:id="24" w:name="_Toc499111744"/>
      <w:bookmarkStart w:id="25" w:name="_Toc24465059"/>
      <w:r w:rsidRPr="00B6432A">
        <w:t>Otopná tělesa</w:t>
      </w:r>
      <w:bookmarkEnd w:id="24"/>
      <w:bookmarkEnd w:id="25"/>
    </w:p>
    <w:p w:rsidR="00B6432A" w:rsidRDefault="00B6432A" w:rsidP="00B6432A">
      <w:pPr>
        <w:ind w:left="426" w:firstLine="0"/>
      </w:pPr>
      <w:r>
        <w:t>Otopná tělesa jsou navržena ocelová desková se spodním připojením pomocí integrovaných termostatických ventilů a uzavíracích šroubení v provedení VK</w:t>
      </w:r>
      <w:r w:rsidR="00123484">
        <w:t>M</w:t>
      </w:r>
      <w:r>
        <w:t xml:space="preserve">. Pro připojení otopných těles na rozvody přívodní topné vody, jsou navrženy </w:t>
      </w:r>
      <w:r w:rsidR="00123484">
        <w:t>rohové/</w:t>
      </w:r>
      <w:r>
        <w:t>přímé termostatické ventily s plynulým přednastavením typu DN15.</w:t>
      </w:r>
    </w:p>
    <w:p w:rsidR="00B6432A" w:rsidRDefault="00B6432A" w:rsidP="00B6432A">
      <w:pPr>
        <w:ind w:left="426" w:firstLine="0"/>
      </w:pPr>
      <w:r>
        <w:t xml:space="preserve"> Pro připojení otopných těles na rozvody vratné topné vody, jsou navrženy </w:t>
      </w:r>
      <w:r w:rsidR="00123484">
        <w:t>rohové/</w:t>
      </w:r>
      <w:r>
        <w:t>přímé uzavírací šroubení s vypouštěním a s plynulým přednastavením typu DN15.</w:t>
      </w:r>
    </w:p>
    <w:p w:rsidR="00B6432A" w:rsidRDefault="00B6432A" w:rsidP="00B6432A">
      <w:pPr>
        <w:ind w:left="426" w:firstLine="0"/>
        <w:rPr>
          <w:sz w:val="24"/>
        </w:rPr>
      </w:pPr>
      <w:r>
        <w:t xml:space="preserve">Veškerá tělesa jsou navržena s termostatickými hlavicemi. </w:t>
      </w:r>
    </w:p>
    <w:p w:rsidR="00B6432A" w:rsidRDefault="00B6432A" w:rsidP="00E717CF"/>
    <w:p w:rsidR="00B6432A" w:rsidRPr="009D7E75" w:rsidRDefault="00B6432A" w:rsidP="00B6432A">
      <w:pPr>
        <w:pStyle w:val="Nadpis2"/>
      </w:pPr>
      <w:bookmarkStart w:id="26" w:name="_Toc1040467"/>
      <w:bookmarkStart w:id="27" w:name="_Toc3894804"/>
      <w:bookmarkStart w:id="28" w:name="_Toc24465060"/>
      <w:r w:rsidRPr="009D7E75">
        <w:t>Rozvody vytápění</w:t>
      </w:r>
      <w:bookmarkEnd w:id="26"/>
      <w:bookmarkEnd w:id="27"/>
      <w:bookmarkEnd w:id="28"/>
    </w:p>
    <w:p w:rsidR="00B6432A" w:rsidRPr="009D7E75" w:rsidRDefault="00B6432A" w:rsidP="00B6432A">
      <w:pPr>
        <w:spacing w:before="120" w:after="0"/>
        <w:ind w:left="426" w:firstLine="0"/>
        <w:contextualSpacing w:val="0"/>
      </w:pPr>
      <w:r w:rsidRPr="009D7E75">
        <w:t>Potrubí je vedeno přednostně pod stropem, resp. a po povrchu stěn</w:t>
      </w:r>
      <w:r>
        <w:t xml:space="preserve"> a v podlaze</w:t>
      </w:r>
      <w:r w:rsidRPr="009D7E75">
        <w:t xml:space="preserve">. </w:t>
      </w:r>
    </w:p>
    <w:p w:rsidR="00B6432A" w:rsidRPr="009D7E75" w:rsidRDefault="00B6432A" w:rsidP="00B6432A">
      <w:pPr>
        <w:spacing w:before="120" w:after="0"/>
        <w:ind w:left="426" w:firstLine="0"/>
        <w:contextualSpacing w:val="0"/>
      </w:pPr>
      <w:r w:rsidRPr="009D7E75">
        <w:t xml:space="preserve">Veškeré prostupy potrubí stěnami a stropem jsou opatřeny </w:t>
      </w:r>
      <w:proofErr w:type="spellStart"/>
      <w:r w:rsidRPr="009D7E75">
        <w:t>prostupovými</w:t>
      </w:r>
      <w:proofErr w:type="spellEnd"/>
      <w:r w:rsidRPr="009D7E75">
        <w:t xml:space="preserve"> chráničkami. Prostupy požárními úseky budou provedeny ve shodě s požárními předpisy. Potrubí bude uloženo na stropních závěsech, na konzolích vetknutých do stěny, popř. kotvených do podlahy. Objímky a závěsy budou v dodávce potrubí.</w:t>
      </w:r>
    </w:p>
    <w:p w:rsidR="00B6432A" w:rsidRPr="009D7E75" w:rsidRDefault="00B6432A" w:rsidP="00B6432A">
      <w:pPr>
        <w:spacing w:before="120" w:after="0"/>
        <w:ind w:left="426" w:firstLine="0"/>
        <w:contextualSpacing w:val="0"/>
      </w:pPr>
      <w:r w:rsidRPr="009D7E75">
        <w:t xml:space="preserve">Tepelná dilatace potrubí bude zajištěna přirozenými ohyby trasy a pomocí U a L kompenzátorů. Potrubí bude na nejvyšším místě odvzdušněno automatickými odvzdušňovacími ventily a na nejnižším místě opatřeno vypouštěním. Rozvody ÚT budou provedeny v předepsaném spádu min. 0,3 % tak, aby byly řádně </w:t>
      </w:r>
      <w:proofErr w:type="spellStart"/>
      <w:r w:rsidRPr="009D7E75">
        <w:t>odvzdušnitelné</w:t>
      </w:r>
      <w:proofErr w:type="spellEnd"/>
      <w:r w:rsidRPr="009D7E75">
        <w:t xml:space="preserve"> a vypustitelné.</w:t>
      </w:r>
    </w:p>
    <w:p w:rsidR="00B6432A" w:rsidRPr="009D7E75" w:rsidRDefault="00B6432A" w:rsidP="00B6432A">
      <w:pPr>
        <w:spacing w:before="120" w:after="0"/>
        <w:ind w:left="426" w:firstLine="0"/>
        <w:contextualSpacing w:val="0"/>
      </w:pPr>
      <w:r w:rsidRPr="009D7E75">
        <w:lastRenderedPageBreak/>
        <w:t xml:space="preserve">Potrubí bude před montáží pečlivě vyčištěno a po montáži propláchnuto vodou. Doporučujeme osadit měřící a regulační armatury a zařízení až po řádném vypláchnutí systému. Závitové armatury se doporučují osadit v potrubí s rozebíratelnými spoji. </w:t>
      </w:r>
    </w:p>
    <w:p w:rsidR="00B6432A" w:rsidRPr="009D7E75" w:rsidRDefault="00B6432A" w:rsidP="00B6432A">
      <w:pPr>
        <w:spacing w:before="120" w:after="0"/>
        <w:ind w:left="426" w:firstLine="0"/>
        <w:contextualSpacing w:val="0"/>
      </w:pPr>
      <w:r w:rsidRPr="009D7E75">
        <w:t xml:space="preserve">O seřízení bude proveden protokol. </w:t>
      </w:r>
      <w:proofErr w:type="spellStart"/>
      <w:r w:rsidRPr="009D7E75">
        <w:t>Zaregulování</w:t>
      </w:r>
      <w:proofErr w:type="spellEnd"/>
      <w:r w:rsidRPr="009D7E75">
        <w:t xml:space="preserve"> otopné soustavy bude provedeno dle §7 odst. 6 vyhlášky č. 193/2007 Sb.</w:t>
      </w:r>
    </w:p>
    <w:p w:rsidR="00B6432A" w:rsidRPr="009D7E75" w:rsidRDefault="00B6432A" w:rsidP="00B6432A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t>Tlaková hydraulická zkouška bude provedena dle ČSN EN 13 480-5. Doba zkoušení stanovena na 72 hodin.</w:t>
      </w:r>
    </w:p>
    <w:p w:rsidR="00B6432A" w:rsidRPr="009D7E75" w:rsidRDefault="00B6432A" w:rsidP="00B6432A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t>Pomocné nosné konstrukce a ocelové rozvody budou opatřeny 1x základním a 2x vrchním nátěrem.</w:t>
      </w:r>
    </w:p>
    <w:p w:rsidR="00B6432A" w:rsidRPr="009D7E75" w:rsidRDefault="00B6432A" w:rsidP="00B6432A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rPr>
          <w:rFonts w:cs="Arial"/>
          <w:b/>
          <w:kern w:val="28"/>
          <w:szCs w:val="22"/>
        </w:rPr>
        <w:t>Před realizací je potřeba provézt koordinace s ostatními profesemi.</w:t>
      </w:r>
    </w:p>
    <w:p w:rsidR="00B6432A" w:rsidRPr="009D7E75" w:rsidRDefault="00B6432A" w:rsidP="00B6432A">
      <w:pPr>
        <w:pStyle w:val="Nadpis2"/>
      </w:pPr>
      <w:bookmarkStart w:id="29" w:name="_Toc1040468"/>
      <w:bookmarkStart w:id="30" w:name="_Toc3894805"/>
      <w:bookmarkStart w:id="31" w:name="_Toc24465061"/>
      <w:r w:rsidRPr="009D7E75">
        <w:t>Izolace potrubí</w:t>
      </w:r>
      <w:bookmarkEnd w:id="29"/>
      <w:bookmarkEnd w:id="30"/>
      <w:bookmarkEnd w:id="31"/>
    </w:p>
    <w:p w:rsidR="00B6432A" w:rsidRPr="009D7E75" w:rsidRDefault="00B6432A" w:rsidP="00B6432A">
      <w:pPr>
        <w:spacing w:before="120"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Potrubí bude tepelně izolované tak, aby byla zaručena minimalizace ztrát tepla v souladu s   vyhl.č.193/2007 Sb.</w:t>
      </w:r>
    </w:p>
    <w:p w:rsidR="00B6432A" w:rsidRPr="009D7E75" w:rsidRDefault="00B6432A" w:rsidP="00B6432A">
      <w:pPr>
        <w:tabs>
          <w:tab w:val="left" w:pos="4536"/>
        </w:tabs>
        <w:spacing w:before="120"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Izolace musí mít tepelnou odolnost odpovídající max. možným teplotám, které se v systému mohou vyskytnout. Materiál a tloušťka by měla být zvolena ve smyslu §4 a §5 citované vyhlášky ministerstva průmyslu a obchodu s přihlédnutím na optimalizace tloušťky izolace k investičním nákladům a prostorovým nárokům.</w:t>
      </w:r>
    </w:p>
    <w:p w:rsidR="00B6432A" w:rsidRPr="009D7E75" w:rsidRDefault="00B6432A" w:rsidP="00B6432A">
      <w:pPr>
        <w:tabs>
          <w:tab w:val="left" w:pos="4536"/>
        </w:tabs>
        <w:spacing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Pro rozvody vytápění bude použita tepelná izolace z minerální vlny a hliníkovou fólií.</w:t>
      </w:r>
    </w:p>
    <w:p w:rsidR="00B6432A" w:rsidRPr="009D7E75" w:rsidRDefault="00B6432A" w:rsidP="00B6432A">
      <w:pPr>
        <w:pStyle w:val="Nadpis2"/>
      </w:pPr>
      <w:bookmarkStart w:id="32" w:name="_Toc1040469"/>
      <w:bookmarkStart w:id="33" w:name="_Toc3894806"/>
      <w:bookmarkStart w:id="34" w:name="_Toc24465062"/>
      <w:r w:rsidRPr="009D7E75">
        <w:t>Měření spotřeby energie</w:t>
      </w:r>
      <w:bookmarkEnd w:id="32"/>
      <w:bookmarkEnd w:id="33"/>
      <w:bookmarkEnd w:id="34"/>
    </w:p>
    <w:p w:rsidR="00B6432A" w:rsidRDefault="00B6432A" w:rsidP="00B6432A">
      <w:pPr>
        <w:rPr>
          <w:rFonts w:cs="Tahoma"/>
          <w:szCs w:val="22"/>
        </w:rPr>
      </w:pPr>
      <w:r w:rsidRPr="009D7E75">
        <w:rPr>
          <w:rFonts w:cs="Tahoma"/>
          <w:szCs w:val="22"/>
        </w:rPr>
        <w:t xml:space="preserve">Měření spotřeby tepla je navrženo v části napojení na </w:t>
      </w:r>
      <w:r>
        <w:rPr>
          <w:rFonts w:cs="Tahoma"/>
          <w:szCs w:val="22"/>
        </w:rPr>
        <w:t>sekundární</w:t>
      </w:r>
      <w:r w:rsidRPr="009D7E75">
        <w:rPr>
          <w:rFonts w:cs="Tahoma"/>
          <w:szCs w:val="22"/>
        </w:rPr>
        <w:t xml:space="preserve"> okruh CZT</w:t>
      </w:r>
      <w:r>
        <w:rPr>
          <w:rFonts w:cs="Tahoma"/>
          <w:szCs w:val="22"/>
        </w:rPr>
        <w:t xml:space="preserve"> v části</w:t>
      </w:r>
      <w:r>
        <w:rPr>
          <w:rFonts w:cs="Tahoma"/>
        </w:rPr>
        <w:t xml:space="preserve"> </w:t>
      </w:r>
      <w:r w:rsidRPr="00585C93">
        <w:rPr>
          <w:rFonts w:cs="Tahoma"/>
        </w:rPr>
        <w:t>SOD IV Objekty oprav a údržby tramvají (OUT)</w:t>
      </w:r>
      <w:r>
        <w:rPr>
          <w:rFonts w:cs="Tahoma"/>
          <w:szCs w:val="22"/>
        </w:rPr>
        <w:t>.</w:t>
      </w:r>
    </w:p>
    <w:p w:rsidR="00B6432A" w:rsidRDefault="00B6432A" w:rsidP="00B6432A">
      <w:pPr>
        <w:rPr>
          <w:rFonts w:cs="Tahoma"/>
          <w:szCs w:val="22"/>
        </w:rPr>
      </w:pPr>
    </w:p>
    <w:p w:rsidR="00867697" w:rsidRDefault="00867697" w:rsidP="00867697">
      <w:pPr>
        <w:pStyle w:val="Nadpis2"/>
      </w:pPr>
      <w:bookmarkStart w:id="35" w:name="_Toc24465063"/>
      <w:r>
        <w:t>Ohřev TV</w:t>
      </w:r>
      <w:bookmarkEnd w:id="35"/>
    </w:p>
    <w:p w:rsidR="00867697" w:rsidRDefault="00867697" w:rsidP="00867697">
      <w:pPr>
        <w:ind w:firstLine="0"/>
        <w:rPr>
          <w:rFonts w:cs="Arial"/>
          <w:szCs w:val="22"/>
        </w:rPr>
      </w:pPr>
      <w:r w:rsidRPr="00CD2074">
        <w:rPr>
          <w:rFonts w:cs="Arial"/>
          <w:szCs w:val="22"/>
        </w:rPr>
        <w:t>Teplá voda (TV) je připravována v </w:t>
      </w:r>
      <w:proofErr w:type="spellStart"/>
      <w:r w:rsidRPr="00CD2074">
        <w:rPr>
          <w:rFonts w:cs="Arial"/>
          <w:szCs w:val="22"/>
        </w:rPr>
        <w:t>přímoohřívaném</w:t>
      </w:r>
      <w:proofErr w:type="spellEnd"/>
      <w:r w:rsidRPr="00CD2074">
        <w:rPr>
          <w:rFonts w:cs="Arial"/>
          <w:szCs w:val="22"/>
        </w:rPr>
        <w:t xml:space="preserve"> zásobníku</w:t>
      </w:r>
      <w:r>
        <w:rPr>
          <w:rFonts w:cs="Arial"/>
          <w:szCs w:val="22"/>
        </w:rPr>
        <w:t xml:space="preserve"> - PD</w:t>
      </w:r>
      <w:r w:rsidRPr="00CD2074">
        <w:rPr>
          <w:rFonts w:cs="Arial"/>
          <w:szCs w:val="22"/>
        </w:rPr>
        <w:t xml:space="preserve"> profese ZTI). </w:t>
      </w:r>
    </w:p>
    <w:p w:rsidR="00867697" w:rsidRPr="00E717CF" w:rsidRDefault="00867697" w:rsidP="00B6432A"/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36" w:name="_Toc1040358"/>
      <w:bookmarkStart w:id="37" w:name="_Toc467852830"/>
      <w:bookmarkStart w:id="38" w:name="_Toc24465064"/>
      <w:r w:rsidRPr="00E717CF">
        <w:rPr>
          <w:rFonts w:cs="Arial"/>
          <w:b/>
          <w:bCs/>
          <w:caps/>
          <w:kern w:val="32"/>
          <w:sz w:val="28"/>
          <w:szCs w:val="32"/>
        </w:rPr>
        <w:t>shrnutí rozhodujících závěrů z pracovních porad včetně uvedení odkazu na dokladovou část</w:t>
      </w:r>
      <w:bookmarkEnd w:id="36"/>
      <w:bookmarkEnd w:id="38"/>
    </w:p>
    <w:p w:rsidR="00E717CF" w:rsidRPr="00E717CF" w:rsidRDefault="00E717CF" w:rsidP="00C4423E">
      <w:pPr>
        <w:pStyle w:val="Nadpis2"/>
      </w:pPr>
      <w:bookmarkStart w:id="39" w:name="_Toc340654674"/>
      <w:bookmarkStart w:id="40" w:name="_Toc503253743"/>
      <w:bookmarkStart w:id="41" w:name="_Toc1040359"/>
      <w:bookmarkStart w:id="42" w:name="_Toc24465065"/>
      <w:r w:rsidRPr="00E717CF">
        <w:t>DODRŽENÍ OBECNÝCH POŽADAVKŮ NA VÝSTAVBU</w:t>
      </w:r>
      <w:bookmarkEnd w:id="39"/>
      <w:bookmarkEnd w:id="40"/>
      <w:bookmarkEnd w:id="41"/>
      <w:bookmarkEnd w:id="42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Tato dokumentace vychází z dokumentace pro územní řízení.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Vlastní realizace stavebního díla musí být navržena a zhotovena v souladu s platnou legislativou tak, aby stavba při respektování hospodárnosti vhodné pro zamýšlené využití respektovala a současně splnila i základní požadavky na vlastnosti staveb, kterými jsou: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mechanická odolnost a stabilita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požární bezpečnost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zdraví, zdravých životních podmínek a životního prostředí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bezpečnost při užívání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proti hluku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úspora energie a ochrana tepla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>Projektová dokumentace ve svém řešení zohledňuje dodržení obecných požadavků na výstavbu a je v souladu s platnou legislativou.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vychází z dokumentace pro územní řízení. Veškeré změny, doplňky a specifické problémy je nutno konzultovat se zpracovatelem této dokumentace.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slouží jako podklad projednání s DOSS a pro získání stavebního povolení, ale nenahrazuje další stupně dokumentace potřebné k realizaci díla.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TECHNICKÁ ZPRÁVA JE NEDÍLNOU SOUČÁSTÍ VÝKRESOVÉ DOKUMENTACE. PROJEKTOVÁ DOKUMENTACE SE SKLÁDÁ Z ČÁSTI ARCHITEKTONICKO-STAVEBNÍ, STATICKÉ, TZB, A DALŠÍCH NAVAZUJÍCÍCH PROFESÍ A POSUDKŮ, PROTO JE JI NUTNO BRÁT JAKO CELEK.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 a Požárně bezpečnostním řešením, které je součástí projektu DSP -  viz  část </w:t>
      </w:r>
      <w:proofErr w:type="gramStart"/>
      <w:r w:rsidRPr="00E717CF">
        <w:rPr>
          <w:rFonts w:cs="Arial"/>
          <w:szCs w:val="22"/>
        </w:rPr>
        <w:t>dokumentace B.3..</w:t>
      </w:r>
      <w:proofErr w:type="gramEnd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 stavbu je možné použít jen dlouhodobě osvědčené a prověřené technologie renomovaných výrobců, kteří garantují kvalitu, poskytují dlouhodobé záruky a jako systém jsou po celou dobu záruky pojištěny. Zároveň je nutno dbát technologických postupů a zejména návazností na okolní konstrukce.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technologické postupy budou prováděny podle technologických předpisů vybraných výrobních firem, v souladu s platnými technickými normami a bezpečnostními předpisy.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VEŠKERÉ VÝROBKY BUDOU PŘED ZADÁNÍM DO VÝROBY NEBO PŘED OBJEDNÁNÍ DODAVATELEM PŘEPOČÍTÁNY ROZMĚRY PŘEMĚŘENY A PŘÍSLUŠNÁ DÍLENSKÁ DOKUMENTACE DODAVATELE BUDE ODSOUHLASENA PROJEKTANTEM VE SPOLUPRÁCI S INVESTOREM.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KAŽDÝ VÝROBEK, MATERIÁL ČI TECHNOLOGICKÉ ZAŘÍZENÍ MUSÍ BÝT OPATŘENY CERTIFIKÁTEM O SHODĚ. U TECHNOLOGIÍ A JINÝCH ZAŘÍZENÍ MUSÍ BÝT PROVEDENY REVIZE A JINÉ POTŘEBNÉ ZKOUŠKY.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použité konstrukce a materiály musí vyhovovat hygienickým požadavkům na emise škodlivin a cizorodých látek (formaldehyd, radon apod.).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43" w:name="_Toc1040360"/>
      <w:bookmarkStart w:id="44" w:name="_Toc24465066"/>
      <w:r w:rsidRPr="00E717CF">
        <w:rPr>
          <w:rFonts w:cs="Arial"/>
          <w:b/>
          <w:bCs/>
          <w:caps/>
          <w:kern w:val="32"/>
          <w:sz w:val="28"/>
          <w:szCs w:val="32"/>
        </w:rPr>
        <w:t>návaznost na OSTATNÍ PROVOZNÍ SOUBORY (PS) A stavební objekty (SO)</w:t>
      </w:r>
      <w:bookmarkEnd w:id="37"/>
      <w:bookmarkEnd w:id="43"/>
      <w:bookmarkEnd w:id="44"/>
    </w:p>
    <w:p w:rsidR="00B6432A" w:rsidRPr="00E717CF" w:rsidRDefault="00B6432A" w:rsidP="00B6432A">
      <w:pPr>
        <w:spacing w:before="120" w:after="0"/>
        <w:ind w:left="851" w:hanging="425"/>
        <w:contextualSpacing w:val="0"/>
        <w:rPr>
          <w:b/>
        </w:rPr>
      </w:pPr>
      <w:r w:rsidRPr="00E717CF">
        <w:rPr>
          <w:b/>
        </w:rPr>
        <w:t>Měření a regulace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Řízení připojovacích uzlů VZT jednotek podle požadované výstupní teploty vzduchu</w:t>
      </w:r>
    </w:p>
    <w:p w:rsidR="00B6432A" w:rsidRPr="00E717CF" w:rsidRDefault="00B6432A" w:rsidP="00B643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Elektroinstalace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Napojení připojovacích uzlů VZT jednotek na silnoproudé vedení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Uzemnění veškerých ocelových prvků otopné soustavy</w:t>
      </w:r>
    </w:p>
    <w:p w:rsidR="00B6432A" w:rsidRPr="00E717CF" w:rsidRDefault="00B6432A" w:rsidP="00B643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Vzduchotechnika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Vytápění haly VZT jednotkami</w:t>
      </w:r>
    </w:p>
    <w:p w:rsidR="00B6432A" w:rsidRPr="00E717CF" w:rsidRDefault="00B6432A" w:rsidP="00B643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Stavba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Prostupy a drážky v příčkách a nosných zdech v trasách potrubí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Přístup k regulačním a uzavíracím prvkům</w:t>
      </w:r>
    </w:p>
    <w:p w:rsidR="00B6432A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 xml:space="preserve">Zohlednit zatížení od rozvodů vytápění </w:t>
      </w:r>
      <w:r>
        <w:rPr>
          <w:rFonts w:cs="Tahoma"/>
        </w:rPr>
        <w:t>vedených pod stropem haly</w:t>
      </w:r>
      <w:r w:rsidRPr="00E717CF">
        <w:rPr>
          <w:rFonts w:cs="Tahoma"/>
        </w:rPr>
        <w:t xml:space="preserve"> v statických výpočtech</w:t>
      </w:r>
    </w:p>
    <w:p w:rsidR="00B6432A" w:rsidRPr="00E717CF" w:rsidRDefault="00B6432A" w:rsidP="00B6432A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>
        <w:rPr>
          <w:rFonts w:cs="Tahoma"/>
        </w:rPr>
        <w:lastRenderedPageBreak/>
        <w:t>Kotvení OT</w:t>
      </w:r>
    </w:p>
    <w:p w:rsidR="00B6432A" w:rsidRPr="00E717CF" w:rsidRDefault="00B6432A" w:rsidP="00B6432A">
      <w:pPr>
        <w:spacing w:before="120" w:after="0"/>
        <w:ind w:left="426" w:firstLine="0"/>
        <w:contextualSpacing w:val="0"/>
        <w:rPr>
          <w:rFonts w:cs="Tahoma"/>
        </w:rPr>
      </w:pPr>
      <w:r w:rsidRPr="00E717CF">
        <w:rPr>
          <w:rFonts w:cs="Tahoma"/>
        </w:rPr>
        <w:t>Prostupy požárně dělícími konstrukcemi budou požárně utěsněny na odolnost prostupované konstrukce.</w:t>
      </w:r>
    </w:p>
    <w:p w:rsidR="00B6432A" w:rsidRPr="00E717CF" w:rsidRDefault="00B6432A" w:rsidP="00B6432A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45" w:name="_Toc144680476"/>
      <w:bookmarkStart w:id="46" w:name="_Toc206921357"/>
      <w:bookmarkStart w:id="47" w:name="_Toc367283146"/>
      <w:bookmarkStart w:id="48" w:name="_Toc398048902"/>
      <w:bookmarkStart w:id="49" w:name="_Toc467852831"/>
      <w:bookmarkStart w:id="50" w:name="_Toc1040361"/>
      <w:bookmarkStart w:id="51" w:name="_Toc24465067"/>
      <w:r w:rsidRPr="00E717CF">
        <w:rPr>
          <w:rFonts w:cs="Arial"/>
          <w:b/>
          <w:bCs/>
          <w:caps/>
          <w:kern w:val="32"/>
          <w:sz w:val="28"/>
          <w:szCs w:val="32"/>
        </w:rPr>
        <w:t>Požární bezpečnost stavby</w:t>
      </w:r>
      <w:bookmarkEnd w:id="45"/>
      <w:bookmarkEnd w:id="46"/>
      <w:bookmarkEnd w:id="47"/>
      <w:bookmarkEnd w:id="48"/>
      <w:bookmarkEnd w:id="49"/>
      <w:bookmarkEnd w:id="50"/>
      <w:bookmarkEnd w:id="51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bookmarkStart w:id="52" w:name="_Toc206921358"/>
      <w:bookmarkStart w:id="53" w:name="_Toc367283147"/>
      <w:bookmarkStart w:id="54" w:name="_Toc398048903"/>
      <w:bookmarkStart w:id="55" w:name="_Toc467852832"/>
      <w:r w:rsidRPr="00E717CF">
        <w:rPr>
          <w:rFonts w:cs="Arial"/>
          <w:szCs w:val="22"/>
        </w:rPr>
        <w:t>Podle technické zprávy části PBŘ, veškeré prostupy rozvodů a instalací budou těsněny požárními ucpávkami dle požadavků ČSN 73 0810. Prostupy realizované požárními ucpávkami budou zřetelně označeny štítkem s informacemi o požární odolnosti, druh nebo typu ucpávky, datum provedení, firmě, adrese a jméně zhotovitele, označení výrobce systému.</w:t>
      </w:r>
    </w:p>
    <w:p w:rsidR="00E717CF" w:rsidRPr="00E717CF" w:rsidRDefault="00E717CF" w:rsidP="00E717CF">
      <w:pPr>
        <w:ind w:left="426" w:firstLine="0"/>
        <w:rPr>
          <w:b/>
          <w:snapToGrid w:val="0"/>
        </w:rPr>
      </w:pPr>
      <w:r w:rsidRPr="00E717CF">
        <w:rPr>
          <w:rFonts w:cs="Arial"/>
          <w:szCs w:val="22"/>
        </w:rPr>
        <w:t>U prostupů požárně dělícími konstrukcemi se kromě požární ucpávky zabraňuje šíření požáru hmotou potrubí a vnitřním prostorem potrubí nebo jiného prostupujícího zařízení, s těsněním prostupů, které se zajišťuje pomocí manžet, tmelů a jiných výrobků, jejichž požární odolnost je určena požadovanou požární odolností požárně dělící konstrukce. Za postačující se považuje odolnost do 90 minut.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52"/>
      <w:bookmarkEnd w:id="53"/>
      <w:bookmarkEnd w:id="54"/>
      <w:r w:rsidRPr="00E717CF">
        <w:rPr>
          <w:rFonts w:cs="Arial"/>
          <w:b/>
          <w:bCs/>
          <w:snapToGrid w:val="0"/>
          <w:kern w:val="32"/>
          <w:szCs w:val="22"/>
        </w:rPr>
        <w:t>ŘEDPISY A NORMY</w:t>
      </w:r>
      <w:bookmarkEnd w:id="55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E717CF" w:rsidRPr="00E717CF" w:rsidRDefault="00E717CF" w:rsidP="00E717CF">
      <w:pPr>
        <w:ind w:left="426" w:firstLine="0"/>
      </w:pPr>
      <w:r w:rsidRPr="00E717CF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Jednotlivé pracovní činnosti musí být prováděné v souladu se zákoníkem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56" w:name="_Toc206921361"/>
      <w:bookmarkStart w:id="57" w:name="_Toc367283150"/>
      <w:bookmarkStart w:id="58" w:name="_Toc398048906"/>
      <w:bookmarkStart w:id="59" w:name="_Toc467852833"/>
      <w:r w:rsidRPr="00E717CF">
        <w:rPr>
          <w:rFonts w:cs="Arial"/>
          <w:b/>
          <w:bCs/>
          <w:snapToGrid w:val="0"/>
          <w:kern w:val="32"/>
          <w:szCs w:val="22"/>
        </w:rPr>
        <w:t>U</w:t>
      </w:r>
      <w:bookmarkEnd w:id="56"/>
      <w:bookmarkEnd w:id="57"/>
      <w:bookmarkEnd w:id="58"/>
      <w:r w:rsidRPr="00E717CF">
        <w:rPr>
          <w:rFonts w:cs="Arial"/>
          <w:b/>
          <w:bCs/>
          <w:snapToGrid w:val="0"/>
          <w:kern w:val="32"/>
          <w:szCs w:val="22"/>
        </w:rPr>
        <w:t>POZORNĚNÍ NA MOŽNÁ OHROŽENÍ</w:t>
      </w:r>
      <w:bookmarkEnd w:id="59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POŽÁRNĚ BEZPEČNOSTNÍ ŘEŠENÍ</w:t>
      </w:r>
    </w:p>
    <w:p w:rsidR="00E717CF" w:rsidRPr="00E717CF" w:rsidRDefault="00E717CF" w:rsidP="00E717CF">
      <w:pPr>
        <w:ind w:left="426" w:firstLine="0"/>
        <w:rPr>
          <w:rFonts w:cs="Arial"/>
          <w:b/>
          <w:szCs w:val="22"/>
        </w:rPr>
      </w:pPr>
      <w:r w:rsidRPr="00E717CF">
        <w:rPr>
          <w:rFonts w:cs="Arial"/>
          <w:b/>
          <w:szCs w:val="22"/>
        </w:rPr>
        <w:t>V průběhu přípravy a realizace stavby je nutné dodržovat požadavky stanovené Požárně bezpečnostním řešením (PBŘ).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60" w:name="_Toc144680477"/>
      <w:bookmarkStart w:id="61" w:name="_Toc206921362"/>
      <w:bookmarkStart w:id="62" w:name="_Toc367283151"/>
      <w:bookmarkStart w:id="63" w:name="_Toc398048907"/>
      <w:bookmarkStart w:id="64" w:name="_Toc467852834"/>
      <w:bookmarkStart w:id="65" w:name="_Toc1040362"/>
      <w:bookmarkStart w:id="66" w:name="_Toc24465068"/>
      <w:r w:rsidRPr="00E717CF">
        <w:rPr>
          <w:rFonts w:cs="Arial"/>
          <w:b/>
          <w:bCs/>
          <w:caps/>
          <w:kern w:val="32"/>
          <w:sz w:val="28"/>
          <w:szCs w:val="32"/>
        </w:rPr>
        <w:lastRenderedPageBreak/>
        <w:t>Bezpečnost práce a ochrana zdraví při práci</w:t>
      </w:r>
      <w:bookmarkStart w:id="67" w:name="_Toc1981571"/>
      <w:bookmarkStart w:id="68" w:name="_Toc144680479"/>
      <w:bookmarkStart w:id="69" w:name="_Toc206921372"/>
      <w:bookmarkStart w:id="70" w:name="_Toc367283161"/>
      <w:bookmarkStart w:id="71" w:name="_Toc398048917"/>
      <w:bookmarkEnd w:id="60"/>
      <w:bookmarkEnd w:id="61"/>
      <w:bookmarkEnd w:id="62"/>
      <w:bookmarkEnd w:id="63"/>
      <w:bookmarkEnd w:id="64"/>
      <w:bookmarkEnd w:id="65"/>
      <w:bookmarkEnd w:id="66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Během výstavby i užívání musí být zajištěna bezpečnost a hygiena práce co nejdůslednějším dodržováním právních a ostatních předpisů v této oblasti.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montáži, provozu a užívání stavby nebo zařízení musí být respektovány platné právní předpisy, zákonná ustanovení, vyhlášky a další právní předpisy včetně technických norem a doporučení k zajištění bezpečnosti a ochrany zdraví při práci (BOZP), které se týkají projektované stavby nebo zařízení.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E717CF" w:rsidRPr="00E717CF" w:rsidRDefault="00E717CF" w:rsidP="00E717CF">
      <w:pPr>
        <w:ind w:left="426" w:firstLine="0"/>
        <w:rPr>
          <w:rFonts w:cs="Arial"/>
          <w:color w:val="FF0000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výstavbě: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používání vhodných montážních prostředků 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používání ochranných pracovních prostředků a vybavení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montážním prostoru není přípustné provádět jiné činnosti bez souhlasu vedoucího montáže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případně musí provedeno odstavení nebo vypnutí dotčeného vedení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prostorách, kde jsou umístěny rozváděče a el. zařízení musí být veškerá zařízení a provedení prací řešeno tak, aby byla zaručena maximální bezpečnost a ochrana zdraví a majetku.</w:t>
      </w:r>
    </w:p>
    <w:p w:rsidR="00E717CF" w:rsidRPr="00E717CF" w:rsidRDefault="00E717CF" w:rsidP="00E717CF">
      <w:pPr>
        <w:ind w:left="720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provozu: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vybaveni dle charakteru pracoviště předepsanými pracovními a ochrannými prostředky.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72" w:name="_Toc206921366"/>
      <w:bookmarkStart w:id="73" w:name="_Toc367283155"/>
      <w:bookmarkStart w:id="74" w:name="_Toc398048911"/>
      <w:bookmarkStart w:id="75" w:name="_Toc467852835"/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72"/>
      <w:bookmarkEnd w:id="73"/>
      <w:bookmarkEnd w:id="74"/>
      <w:bookmarkEnd w:id="75"/>
      <w:r w:rsidRPr="00E717CF">
        <w:rPr>
          <w:rFonts w:cs="Arial"/>
          <w:b/>
          <w:bCs/>
          <w:snapToGrid w:val="0"/>
          <w:kern w:val="32"/>
          <w:szCs w:val="22"/>
        </w:rPr>
        <w:t>ředpisy a normy:</w:t>
      </w:r>
    </w:p>
    <w:p w:rsidR="00E717CF" w:rsidRPr="00E717CF" w:rsidRDefault="00E717CF" w:rsidP="00E717CF">
      <w:pPr>
        <w:ind w:left="426" w:firstLine="0"/>
      </w:pPr>
      <w:r w:rsidRPr="00E717CF">
        <w:t>Při montáži, demontáži a provozu zařízení musí být respektovány platné právní předpisy, vyhlášky a normy k zajištění BOZP, které se týkají projektovaného stavebního objektu.</w:t>
      </w:r>
    </w:p>
    <w:p w:rsidR="00E717CF" w:rsidRPr="00E717CF" w:rsidRDefault="00E717CF" w:rsidP="00E717CF">
      <w:pPr>
        <w:ind w:left="567" w:firstLine="0"/>
      </w:pPr>
    </w:p>
    <w:p w:rsidR="00E717CF" w:rsidRPr="00E717CF" w:rsidRDefault="00E717CF" w:rsidP="00E717CF">
      <w:pPr>
        <w:ind w:left="426" w:firstLine="0"/>
      </w:pPr>
      <w:r w:rsidRPr="00E717CF">
        <w:t>Přehled základních předpisů: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Zákon 262/2006 Sb.</w:t>
      </w:r>
      <w:r w:rsidRPr="00E717CF">
        <w:tab/>
        <w:t>Zákoník práce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591/2006 Sb.</w:t>
      </w:r>
      <w:r w:rsidRPr="00E717CF">
        <w:tab/>
        <w:t>Nařízení vlády o bližších minimálních požadavcích na bezpečnost a ochranu zdraví při práci na staveništi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lastRenderedPageBreak/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362/2005 Sb.</w:t>
      </w:r>
      <w:r w:rsidRPr="00E717CF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č.101/2005 Sb. o podrobnějších požadavcích na pracoviště a pracovní prostředí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361/2007 Sb.</w:t>
      </w:r>
      <w:r w:rsidRPr="00E717CF">
        <w:tab/>
        <w:t xml:space="preserve">Nařízení vlády, kterým se stanoví podmínky ochrany zdraví při práci - ve znění pozdějších předpisů 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201/2010 Sb. Nařízení vlády, kterým se stanoví způsob evidence a hlášení pracovních úrazů 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č. 217/2016 O ochraně zdraví před nepříznivými účinky hluku a vibrací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zákon č. 133/1985 Sb., o požární ochraně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Vyhláška č. 23/2008 Sb., o technických podmínkách požární ochrany staveb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vyhláška č. 268/2009 o technických požadavcích na stavby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BOZP dodavatele</w:t>
      </w:r>
    </w:p>
    <w:p w:rsid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BOZP provozovatele</w:t>
      </w: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Default="00444160" w:rsidP="00444160">
      <w:pPr>
        <w:spacing w:before="120" w:after="0"/>
        <w:contextualSpacing w:val="0"/>
      </w:pPr>
    </w:p>
    <w:p w:rsidR="00444160" w:rsidRPr="00E717CF" w:rsidRDefault="00444160" w:rsidP="00444160">
      <w:pPr>
        <w:spacing w:before="120" w:after="0"/>
        <w:contextualSpacing w:val="0"/>
      </w:pPr>
      <w:bookmarkStart w:id="76" w:name="_GoBack"/>
      <w:bookmarkEnd w:id="76"/>
    </w:p>
    <w:p w:rsidR="00867697" w:rsidRDefault="00867697" w:rsidP="00867697">
      <w:pPr>
        <w:pStyle w:val="Nadpis1"/>
      </w:pPr>
      <w:bookmarkStart w:id="77" w:name="_Toc3894812"/>
      <w:bookmarkStart w:id="78" w:name="_Toc24465069"/>
      <w:bookmarkEnd w:id="67"/>
      <w:bookmarkEnd w:id="68"/>
      <w:bookmarkEnd w:id="69"/>
      <w:bookmarkEnd w:id="70"/>
      <w:bookmarkEnd w:id="71"/>
      <w:r>
        <w:lastRenderedPageBreak/>
        <w:t>Přílohy:</w:t>
      </w:r>
      <w:bookmarkEnd w:id="77"/>
      <w:bookmarkEnd w:id="78"/>
    </w:p>
    <w:p w:rsidR="00867697" w:rsidRPr="009D7E75" w:rsidRDefault="00867697" w:rsidP="00867697">
      <w:pPr>
        <w:pStyle w:val="Nadpis2"/>
      </w:pPr>
      <w:bookmarkStart w:id="79" w:name="_Toc3894813"/>
      <w:bookmarkStart w:id="80" w:name="_Toc24465070"/>
      <w:r>
        <w:t>Tepelná ztráta</w:t>
      </w:r>
      <w:bookmarkEnd w:id="79"/>
      <w:bookmarkEnd w:id="80"/>
      <w:r>
        <w:t xml:space="preserve"> </w:t>
      </w:r>
    </w:p>
    <w:p w:rsidR="00867697" w:rsidRDefault="00867697" w:rsidP="00867697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Tento dokument obsahuje všechny zadané úseky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2"/>
        <w:gridCol w:w="423"/>
        <w:gridCol w:w="1102"/>
        <w:gridCol w:w="524"/>
        <w:gridCol w:w="1200"/>
        <w:gridCol w:w="414"/>
        <w:gridCol w:w="2796"/>
        <w:gridCol w:w="135"/>
        <w:gridCol w:w="135"/>
      </w:tblGrid>
      <w:tr w:rsidR="00867697" w:rsidRPr="00867697" w:rsidTr="001C267E">
        <w:trPr>
          <w:cantSplit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t</w:t>
            </w:r>
            <w:r w:rsidRPr="00867697">
              <w:rPr>
                <w:rFonts w:cs="Arial"/>
                <w:color w:val="000000"/>
                <w:position w:val="-3"/>
                <w:sz w:val="13"/>
                <w:szCs w:val="13"/>
              </w:rPr>
              <w:t>e</w:t>
            </w:r>
            <w:r w:rsidRPr="00867697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-15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°C       t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3"/>
                <w:szCs w:val="13"/>
              </w:rPr>
              <w:t>ib</w:t>
            </w:r>
            <w:proofErr w:type="spellEnd"/>
            <w:r w:rsidRPr="00867697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°C       n</w:t>
            </w:r>
            <w:r w:rsidRPr="00867697">
              <w:rPr>
                <w:rFonts w:cs="Arial"/>
                <w:color w:val="000000"/>
                <w:position w:val="-3"/>
                <w:sz w:val="13"/>
                <w:szCs w:val="13"/>
              </w:rPr>
              <w:t>50</w:t>
            </w:r>
            <w:r w:rsidRPr="00867697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systém rozměrů: E - vnější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:rsidR="00867697" w:rsidRPr="00867697" w:rsidRDefault="00867697" w:rsidP="00867697">
      <w:pPr>
        <w:widowControl w:val="0"/>
        <w:autoSpaceDE w:val="0"/>
        <w:autoSpaceDN w:val="0"/>
        <w:adjustRightInd w:val="0"/>
        <w:spacing w:after="0" w:line="1" w:lineRule="exact"/>
        <w:ind w:firstLine="0"/>
        <w:contextualSpacing w:val="0"/>
        <w:jc w:val="lef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top w:w="14" w:type="dxa"/>
          <w:left w:w="113" w:type="dxa"/>
          <w:bottom w:w="14" w:type="dxa"/>
          <w:right w:w="113" w:type="dxa"/>
        </w:tblCellMar>
        <w:tblLook w:val="0000" w:firstRow="0" w:lastRow="0" w:firstColumn="0" w:lastColumn="0" w:noHBand="0" w:noVBand="0"/>
      </w:tblPr>
      <w:tblGrid>
        <w:gridCol w:w="566"/>
        <w:gridCol w:w="725"/>
        <w:gridCol w:w="1968"/>
        <w:gridCol w:w="566"/>
        <w:gridCol w:w="514"/>
        <w:gridCol w:w="883"/>
        <w:gridCol w:w="883"/>
        <w:gridCol w:w="605"/>
        <w:gridCol w:w="835"/>
        <w:gridCol w:w="835"/>
        <w:gridCol w:w="840"/>
        <w:gridCol w:w="682"/>
      </w:tblGrid>
      <w:tr w:rsidR="00867697" w:rsidRPr="00867697" w:rsidTr="001C267E">
        <w:trPr>
          <w:cantSplit/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867697">
              <w:rPr>
                <w:rFonts w:cs="Arial"/>
                <w:color w:val="000000"/>
                <w:sz w:val="17"/>
                <w:szCs w:val="17"/>
              </w:rPr>
              <w:t>podl</w:t>
            </w:r>
            <w:proofErr w:type="spellEnd"/>
            <w:r w:rsidRPr="00867697">
              <w:rPr>
                <w:rFonts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867697">
              <w:rPr>
                <w:rFonts w:cs="Arial"/>
                <w:color w:val="000000"/>
                <w:sz w:val="17"/>
                <w:szCs w:val="17"/>
              </w:rPr>
              <w:t>č.m</w:t>
            </w:r>
            <w:proofErr w:type="spellEnd"/>
            <w:r w:rsidRPr="00867697">
              <w:rPr>
                <w:rFonts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účel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úsek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t</w:t>
            </w:r>
            <w:r w:rsidRPr="00867697">
              <w:rPr>
                <w:rFonts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</w:t>
            </w:r>
            <w:r w:rsidRPr="00867697">
              <w:rPr>
                <w:rFonts w:cs="Arial"/>
                <w:color w:val="000000"/>
                <w:position w:val="-3"/>
                <w:sz w:val="11"/>
                <w:szCs w:val="11"/>
              </w:rPr>
              <w:t>mi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A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1"/>
                <w:szCs w:val="11"/>
              </w:rPr>
              <w:t>pi</w:t>
            </w:r>
            <w:proofErr w:type="spellEnd"/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2"/>
                <w:szCs w:val="12"/>
              </w:rPr>
              <w:t>Vm</w:t>
            </w:r>
            <w:proofErr w:type="spellEnd"/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2"/>
                <w:szCs w:val="12"/>
              </w:rPr>
              <w:t>Tm</w:t>
            </w:r>
            <w:proofErr w:type="spellEnd"/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2"/>
                <w:szCs w:val="12"/>
              </w:rPr>
              <w:t>HLm</w:t>
            </w:r>
            <w:proofErr w:type="spellEnd"/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Q</w:t>
            </w:r>
            <w:r w:rsidRPr="00867697">
              <w:rPr>
                <w:rFonts w:cs="Arial"/>
                <w:color w:val="000000"/>
                <w:position w:val="-3"/>
                <w:sz w:val="11"/>
                <w:szCs w:val="11"/>
              </w:rPr>
              <w:t>cm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VYT</w:t>
            </w:r>
          </w:p>
        </w:tc>
      </w:tr>
      <w:tr w:rsidR="00867697" w:rsidRPr="00867697" w:rsidTr="001C267E">
        <w:trPr>
          <w:cantSplit/>
          <w:tblHeader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m</w:t>
            </w:r>
            <w:r w:rsidRPr="00867697">
              <w:rPr>
                <w:rFonts w:cs="Arial"/>
                <w:color w:val="000000"/>
                <w:position w:val="5"/>
                <w:sz w:val="11"/>
                <w:szCs w:val="11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m</w:t>
            </w:r>
            <w:r w:rsidRPr="00867697">
              <w:rPr>
                <w:rFonts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867697" w:rsidRPr="00867697" w:rsidRDefault="00867697" w:rsidP="00867697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867697" w:rsidRPr="00867697" w:rsidTr="001C267E">
        <w:trPr>
          <w:cantSplit/>
        </w:trPr>
        <w:tc>
          <w:tcPr>
            <w:tcW w:w="990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ÚSEK 1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01v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Vstup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157,5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45,0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803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1 030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1 833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1 833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022v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16,4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023v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Schodiště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112,1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31,0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937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937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937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024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48,3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13,3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73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73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024v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48,3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13,3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110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110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110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025v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22,1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6,1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84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84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201v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82,4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466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466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466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202v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56,7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203w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56,7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335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33v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Odpočinková místnost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86,1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23,8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923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923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923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401v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38,4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11,0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88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88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402v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20,3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24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24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403v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27,9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405v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6,2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-23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411v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Sprcha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20,3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412v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Sprcha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21,5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6,0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138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138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138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421v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Šatna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85,6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24,4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286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286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286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422v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Šatna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95,4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26,4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516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516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43v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867697">
              <w:rPr>
                <w:rFonts w:cs="Arial"/>
                <w:color w:val="000000"/>
                <w:sz w:val="17"/>
                <w:szCs w:val="17"/>
              </w:rPr>
              <w:t>Sprcha+šatna</w:t>
            </w:r>
            <w:proofErr w:type="spellEnd"/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25,4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7,0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217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217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217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44v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15,1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4,3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59v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podružný rozvaděč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18,9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5,4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-70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OT</w:t>
            </w:r>
          </w:p>
        </w:tc>
      </w:tr>
      <w:tr w:rsidR="00867697" w:rsidRPr="00867697" w:rsidTr="001C267E">
        <w:trPr>
          <w:cantSplit/>
        </w:trPr>
        <w:tc>
          <w:tcPr>
            <w:tcW w:w="32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20"/>
              </w:rPr>
              <w:t></w:t>
            </w:r>
            <w:r w:rsidRPr="00867697">
              <w:rPr>
                <w:rFonts w:cs="Arial"/>
                <w:color w:val="000000"/>
                <w:sz w:val="20"/>
              </w:rPr>
              <w:t xml:space="preserve"> úsek 1 ÚSEK 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1 061,6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296,8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803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5 750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6 647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6 647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867697" w:rsidRPr="00867697" w:rsidTr="001C267E">
        <w:trPr>
          <w:cantSplit/>
        </w:trPr>
        <w:tc>
          <w:tcPr>
            <w:tcW w:w="990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ÚSEK 2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30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Dílna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157,5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52,5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51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VZT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311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Dílna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71,3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23,8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239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239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239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VZT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312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Dílna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1 307,8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192,7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5 775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5 775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5 775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VZT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313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Dílna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18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1 335,4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196,8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7 877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7 877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7 877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VZT</w:t>
            </w:r>
          </w:p>
        </w:tc>
      </w:tr>
      <w:tr w:rsidR="00867697" w:rsidRPr="00867697" w:rsidTr="001C267E">
        <w:trPr>
          <w:cantSplit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37</w:t>
            </w:r>
          </w:p>
        </w:tc>
        <w:tc>
          <w:tcPr>
            <w:tcW w:w="196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garáž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5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6 036,6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955,2</w:t>
            </w:r>
          </w:p>
        </w:tc>
        <w:tc>
          <w:tcPr>
            <w:tcW w:w="60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27 436</w:t>
            </w: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27 436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b/>
                <w:color w:val="000000"/>
                <w:sz w:val="17"/>
                <w:szCs w:val="17"/>
              </w:rPr>
              <w:t>27 436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VZT</w:t>
            </w:r>
          </w:p>
        </w:tc>
      </w:tr>
      <w:tr w:rsidR="00867697" w:rsidRPr="00867697" w:rsidTr="001C267E">
        <w:trPr>
          <w:cantSplit/>
        </w:trPr>
        <w:tc>
          <w:tcPr>
            <w:tcW w:w="32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20"/>
              </w:rPr>
              <w:t></w:t>
            </w:r>
            <w:r w:rsidRPr="00867697">
              <w:rPr>
                <w:rFonts w:cs="Arial"/>
                <w:color w:val="000000"/>
                <w:sz w:val="20"/>
              </w:rPr>
              <w:t xml:space="preserve"> úsek 2 ÚSEK 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8 908,7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1 421,0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41 378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41 378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41 378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867697" w:rsidRPr="00867697" w:rsidTr="001C267E">
        <w:trPr>
          <w:cantSplit/>
        </w:trPr>
        <w:tc>
          <w:tcPr>
            <w:tcW w:w="12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ascii="Symbol" w:hAnsi="Symbol" w:cs="Symbol"/>
                <w:color w:val="000000"/>
                <w:sz w:val="20"/>
              </w:rPr>
              <w:t></w:t>
            </w:r>
            <w:r w:rsidRPr="00867697">
              <w:rPr>
                <w:rFonts w:cs="Arial"/>
                <w:color w:val="000000"/>
                <w:sz w:val="20"/>
              </w:rPr>
              <w:t xml:space="preserve"> budovy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9 970,3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1 717,8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803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47 128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867697">
              <w:rPr>
                <w:rFonts w:cs="Arial"/>
                <w:color w:val="000000"/>
                <w:sz w:val="17"/>
                <w:szCs w:val="17"/>
              </w:rPr>
              <w:t>48 025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68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</w:tbl>
    <w:p w:rsidR="00867697" w:rsidRPr="00867697" w:rsidRDefault="00867697" w:rsidP="00867697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</w:p>
    <w:p w:rsidR="00867697" w:rsidRPr="00867697" w:rsidRDefault="00867697" w:rsidP="00867697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  <w:r w:rsidRPr="00867697">
        <w:rPr>
          <w:rFonts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98"/>
        <w:gridCol w:w="4627"/>
      </w:tblGrid>
      <w:tr w:rsidR="00867697" w:rsidRPr="00867697" w:rsidTr="001C267E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867697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návrhová tepelná ztráta místnosti větráním</w:t>
            </w:r>
          </w:p>
        </w:tc>
      </w:tr>
      <w:tr w:rsidR="00867697" w:rsidRPr="00867697" w:rsidTr="001C267E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867697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celkový návrhový tepelný výkon místnosti</w:t>
            </w:r>
          </w:p>
        </w:tc>
      </w:tr>
      <w:tr w:rsidR="00867697" w:rsidRPr="00867697" w:rsidTr="001C267E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b/>
                <w:bCs/>
                <w:color w:val="000000"/>
                <w:sz w:val="20"/>
              </w:rPr>
              <w:t>Q</w:t>
            </w:r>
            <w:r w:rsidRPr="00867697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ascii="Symbol" w:hAnsi="Symbol" w:cs="Symbol"/>
                <w:color w:val="000000"/>
                <w:sz w:val="20"/>
              </w:rPr>
              <w:t></w:t>
            </w:r>
            <w:proofErr w:type="spellStart"/>
            <w:r w:rsidRPr="00867697">
              <w:rPr>
                <w:rFonts w:cs="Arial"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  <w:r w:rsidRPr="00867697">
              <w:rPr>
                <w:rFonts w:cs="Arial"/>
                <w:color w:val="000000"/>
                <w:sz w:val="20"/>
              </w:rPr>
              <w:t xml:space="preserve"> + Q</w:t>
            </w:r>
            <w:r w:rsidRPr="00867697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  <w:tr w:rsidR="00867697" w:rsidRPr="00867697" w:rsidTr="001C267E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867697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697" w:rsidRPr="00867697" w:rsidRDefault="00867697" w:rsidP="008676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867697">
              <w:rPr>
                <w:rFonts w:cs="Arial"/>
                <w:color w:val="000000"/>
                <w:sz w:val="20"/>
              </w:rPr>
              <w:t>návrhová tepelná ztráta místnosti prostupem tepla</w:t>
            </w:r>
          </w:p>
        </w:tc>
      </w:tr>
    </w:tbl>
    <w:p w:rsidR="00E717CF" w:rsidRPr="00E717CF" w:rsidRDefault="00E717CF" w:rsidP="00E717CF"/>
    <w:sectPr w:rsidR="00E717CF" w:rsidRPr="00E717CF" w:rsidSect="0039664D">
      <w:headerReference w:type="default" r:id="rId9"/>
      <w:footerReference w:type="default" r:id="rId10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C4" w:rsidRDefault="00F538C4">
      <w:r>
        <w:separator/>
      </w:r>
    </w:p>
  </w:endnote>
  <w:endnote w:type="continuationSeparator" w:id="0">
    <w:p w:rsidR="00F538C4" w:rsidRDefault="00F5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PalmSpring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429"/>
      <w:gridCol w:w="422"/>
      <w:gridCol w:w="425"/>
      <w:gridCol w:w="567"/>
      <w:gridCol w:w="567"/>
      <w:gridCol w:w="1418"/>
      <w:gridCol w:w="567"/>
    </w:tblGrid>
    <w:tr w:rsidR="001C267E" w:rsidRPr="00897C60" w:rsidTr="00FC7A13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1C267E" w:rsidRPr="00897C60" w:rsidRDefault="001C267E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6946" w:type="dxa"/>
          <w:gridSpan w:val="9"/>
          <w:tcBorders>
            <w:top w:val="single" w:sz="4" w:space="0" w:color="auto"/>
          </w:tcBorders>
          <w:vAlign w:val="center"/>
        </w:tcPr>
        <w:p w:rsidR="001C267E" w:rsidRPr="00897C60" w:rsidRDefault="001C267E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>
            <w:t>“ – DSP</w:t>
          </w:r>
        </w:p>
      </w:tc>
      <w:tc>
        <w:tcPr>
          <w:tcW w:w="1985" w:type="dxa"/>
          <w:gridSpan w:val="2"/>
          <w:tcBorders>
            <w:top w:val="single" w:sz="4" w:space="0" w:color="auto"/>
          </w:tcBorders>
          <w:vAlign w:val="center"/>
        </w:tcPr>
        <w:p w:rsidR="001C267E" w:rsidRPr="00897C60" w:rsidRDefault="001C267E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44160">
            <w:rPr>
              <w:noProof/>
            </w:rPr>
            <w:t>11</w:t>
          </w:r>
          <w:r>
            <w:rPr>
              <w:noProof/>
            </w:rPr>
            <w:fldChar w:fldCharType="end"/>
          </w:r>
          <w:r w:rsidRPr="00897C60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444160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1C267E" w:rsidRPr="00EC1679" w:rsidTr="00FC7A13">
      <w:trPr>
        <w:trHeight w:hRule="exact" w:val="283"/>
      </w:trPr>
      <w:tc>
        <w:tcPr>
          <w:tcW w:w="1242" w:type="dxa"/>
          <w:vAlign w:val="center"/>
        </w:tcPr>
        <w:p w:rsidR="001C267E" w:rsidRPr="00897C60" w:rsidRDefault="001C267E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1C267E" w:rsidRPr="00897C60" w:rsidRDefault="001C267E" w:rsidP="00EF72E3">
          <w:pPr>
            <w:pStyle w:val="Zpat"/>
          </w:pPr>
          <w:r>
            <w:t>Bc. Kostínková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1C267E" w:rsidRPr="00897C60" w:rsidRDefault="001C267E" w:rsidP="00EF72E3">
          <w:pPr>
            <w:pStyle w:val="Zpat"/>
            <w:ind w:left="-170"/>
          </w:pPr>
          <w:proofErr w:type="spellStart"/>
          <w:r w:rsidRPr="00897C60">
            <w:t>IdIdentifikační</w:t>
          </w:r>
          <w:proofErr w:type="spellEnd"/>
          <w:r w:rsidRPr="00897C60">
            <w:t xml:space="preserve">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1C267E" w:rsidRPr="00863549" w:rsidRDefault="00123484" w:rsidP="00EF72E3">
          <w:pPr>
            <w:pStyle w:val="Zpat"/>
            <w:jc w:val="center"/>
          </w:pPr>
          <w:r>
            <w:t>19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63549" w:rsidRDefault="001C267E" w:rsidP="00EF72E3">
          <w:pPr>
            <w:pStyle w:val="Zpat"/>
            <w:jc w:val="center"/>
          </w:pPr>
          <w:r>
            <w:t>7246</w:t>
          </w:r>
        </w:p>
      </w:tc>
      <w:tc>
        <w:tcPr>
          <w:tcW w:w="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63549" w:rsidRDefault="00123484" w:rsidP="00EF72E3">
          <w:pPr>
            <w:pStyle w:val="Zpat"/>
            <w:jc w:val="center"/>
          </w:pPr>
          <w:r>
            <w:t>006</w:t>
          </w:r>
        </w:p>
      </w:tc>
      <w:tc>
        <w:tcPr>
          <w:tcW w:w="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97C60" w:rsidRDefault="001C267E" w:rsidP="00FC7A13">
          <w:pPr>
            <w:pStyle w:val="Zpat"/>
          </w:pPr>
          <w:r>
            <w:t xml:space="preserve"> 05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97C60" w:rsidRDefault="001C267E" w:rsidP="00FC7A13">
          <w:pPr>
            <w:pStyle w:val="Zpat"/>
          </w:pPr>
          <w:r>
            <w:t xml:space="preserve"> 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97C60" w:rsidRDefault="001C267E" w:rsidP="00EF72E3">
          <w:pPr>
            <w:pStyle w:val="Zpat"/>
            <w:jc w:val="center"/>
          </w:pPr>
          <w:r>
            <w:t>03</w:t>
          </w:r>
          <w:r w:rsidR="00123484">
            <w:t>b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1C267E" w:rsidRPr="00897C60" w:rsidRDefault="001C267E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141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1C267E" w:rsidRPr="00863549" w:rsidRDefault="001C267E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267E" w:rsidRPr="00863549" w:rsidRDefault="001C267E" w:rsidP="00EF72E3">
          <w:pPr>
            <w:pStyle w:val="Zpat"/>
            <w:jc w:val="center"/>
          </w:pPr>
        </w:p>
      </w:tc>
    </w:tr>
  </w:tbl>
  <w:p w:rsidR="001C267E" w:rsidRPr="006A1972" w:rsidRDefault="001C267E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C4" w:rsidRDefault="00F538C4">
      <w:r>
        <w:separator/>
      </w:r>
    </w:p>
  </w:footnote>
  <w:footnote w:type="continuationSeparator" w:id="0">
    <w:p w:rsidR="00F538C4" w:rsidRDefault="00F53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1C267E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1C267E" w:rsidRPr="0052011D" w:rsidRDefault="00444160" w:rsidP="0009537E">
          <w:pPr>
            <w:pStyle w:val="Zhlav"/>
            <w:rPr>
              <w:sz w:val="24"/>
              <w:szCs w:val="24"/>
            </w:rPr>
          </w:pPr>
          <w:r>
            <w:rPr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3.5pt;height:15pt" fillcolor="window">
                <v:imagedata r:id="rId1" o:title=""/>
              </v:shape>
            </w:pict>
          </w:r>
        </w:p>
      </w:tc>
      <w:tc>
        <w:tcPr>
          <w:tcW w:w="4793" w:type="dxa"/>
          <w:vAlign w:val="center"/>
        </w:tcPr>
        <w:p w:rsidR="001C267E" w:rsidRPr="0052011D" w:rsidRDefault="001C267E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1C267E" w:rsidRPr="0052011D" w:rsidRDefault="001C267E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1C267E" w:rsidRPr="00FC2382" w:rsidRDefault="001C267E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1.25pt;height:115.5pt" o:bullet="t" fillcolor="window">
        <v:imagedata r:id="rId1" o:title=""/>
      </v:shape>
    </w:pict>
  </w:numPicBullet>
  <w:abstractNum w:abstractNumId="0">
    <w:nsid w:val="FFFFFF7C"/>
    <w:multiLevelType w:val="singleLevel"/>
    <w:tmpl w:val="42644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7FAD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44EE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02A9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0A4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F40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7AD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73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64F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06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C35B0"/>
    <w:multiLevelType w:val="multilevel"/>
    <w:tmpl w:val="3B30EC0E"/>
    <w:numStyleLink w:val="Styl1"/>
  </w:abstractNum>
  <w:abstractNum w:abstractNumId="11">
    <w:nsid w:val="0DE833E1"/>
    <w:multiLevelType w:val="hybridMultilevel"/>
    <w:tmpl w:val="F120DC26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>
    <w:nsid w:val="15742AC0"/>
    <w:multiLevelType w:val="singleLevel"/>
    <w:tmpl w:val="674A1A2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3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>
    <w:nsid w:val="248A09ED"/>
    <w:multiLevelType w:val="multilevel"/>
    <w:tmpl w:val="3B30EC0E"/>
    <w:numStyleLink w:val="Styl1"/>
  </w:abstractNum>
  <w:abstractNum w:abstractNumId="15">
    <w:nsid w:val="2D4E3A4B"/>
    <w:multiLevelType w:val="hybridMultilevel"/>
    <w:tmpl w:val="97145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E16AA"/>
    <w:multiLevelType w:val="multilevel"/>
    <w:tmpl w:val="B77E0D4A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2986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32BF1676"/>
    <w:multiLevelType w:val="hybridMultilevel"/>
    <w:tmpl w:val="C2A83CFC"/>
    <w:lvl w:ilvl="0" w:tplc="35DEF87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62326B3"/>
    <w:multiLevelType w:val="multilevel"/>
    <w:tmpl w:val="3B30E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3CA971F2"/>
    <w:multiLevelType w:val="hybridMultilevel"/>
    <w:tmpl w:val="877E739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>
    <w:nsid w:val="583B2887"/>
    <w:multiLevelType w:val="hybridMultilevel"/>
    <w:tmpl w:val="40E89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1624F1"/>
    <w:multiLevelType w:val="multilevel"/>
    <w:tmpl w:val="E158918E"/>
    <w:lvl w:ilvl="0">
      <w:start w:val="2"/>
      <w:numFmt w:val="decimal"/>
      <w:lvlText w:val="%1"/>
      <w:lvlJc w:val="left"/>
      <w:pPr>
        <w:ind w:left="600" w:hanging="600"/>
      </w:pPr>
      <w:rPr>
        <w:rFonts w:ascii="Arial" w:eastAsia="Times New Roman" w:hAnsi="Arial" w:cs="Times New Roman" w:hint="default"/>
        <w:color w:val="0000FF"/>
        <w:u w:val="singl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Times New Roman" w:hAnsi="Arial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eastAsia="Times New Roman" w:hAnsi="Arial" w:cs="Times New Roman" w:hint="default"/>
        <w:color w:val="0000FF"/>
        <w:u w:val="single"/>
      </w:rPr>
    </w:lvl>
  </w:abstractNum>
  <w:abstractNum w:abstractNumId="24">
    <w:nsid w:val="5B63347C"/>
    <w:multiLevelType w:val="hybridMultilevel"/>
    <w:tmpl w:val="6824AE6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1521A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0F852A9"/>
    <w:multiLevelType w:val="hybridMultilevel"/>
    <w:tmpl w:val="E036F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5E55EC0"/>
    <w:multiLevelType w:val="hybridMultilevel"/>
    <w:tmpl w:val="DD92A64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CA963F7"/>
    <w:multiLevelType w:val="hybridMultilevel"/>
    <w:tmpl w:val="2160AAFA"/>
    <w:lvl w:ilvl="0" w:tplc="9FCE4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A7C5F"/>
    <w:multiLevelType w:val="hybridMultilevel"/>
    <w:tmpl w:val="470AA61E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>
    <w:nsid w:val="7210229D"/>
    <w:multiLevelType w:val="hybridMultilevel"/>
    <w:tmpl w:val="1D1E8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B09F6"/>
    <w:multiLevelType w:val="multilevel"/>
    <w:tmpl w:val="2C4A9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52B4960"/>
    <w:multiLevelType w:val="hybridMultilevel"/>
    <w:tmpl w:val="89DA18DC"/>
    <w:lvl w:ilvl="0" w:tplc="1D5C9B8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1"/>
  </w:num>
  <w:num w:numId="14">
    <w:abstractNumId w:val="14"/>
  </w:num>
  <w:num w:numId="15">
    <w:abstractNumId w:val="10"/>
  </w:num>
  <w:num w:numId="16">
    <w:abstractNumId w:val="25"/>
  </w:num>
  <w:num w:numId="17">
    <w:abstractNumId w:val="18"/>
  </w:num>
  <w:num w:numId="18">
    <w:abstractNumId w:val="32"/>
  </w:num>
  <w:num w:numId="19">
    <w:abstractNumId w:val="28"/>
  </w:num>
  <w:num w:numId="20">
    <w:abstractNumId w:val="19"/>
  </w:num>
  <w:num w:numId="21">
    <w:abstractNumId w:val="29"/>
  </w:num>
  <w:num w:numId="22">
    <w:abstractNumId w:val="11"/>
  </w:num>
  <w:num w:numId="23">
    <w:abstractNumId w:val="30"/>
  </w:num>
  <w:num w:numId="24">
    <w:abstractNumId w:val="16"/>
  </w:num>
  <w:num w:numId="25">
    <w:abstractNumId w:val="16"/>
  </w:num>
  <w:num w:numId="26">
    <w:abstractNumId w:val="16"/>
  </w:num>
  <w:num w:numId="27">
    <w:abstractNumId w:val="23"/>
  </w:num>
  <w:num w:numId="28">
    <w:abstractNumId w:val="13"/>
  </w:num>
  <w:num w:numId="29">
    <w:abstractNumId w:val="13"/>
  </w:num>
  <w:num w:numId="30">
    <w:abstractNumId w:val="26"/>
  </w:num>
  <w:num w:numId="31">
    <w:abstractNumId w:val="16"/>
  </w:num>
  <w:num w:numId="32">
    <w:abstractNumId w:val="12"/>
  </w:num>
  <w:num w:numId="33">
    <w:abstractNumId w:val="22"/>
  </w:num>
  <w:num w:numId="34">
    <w:abstractNumId w:val="16"/>
  </w:num>
  <w:num w:numId="35">
    <w:abstractNumId w:val="16"/>
  </w:num>
  <w:num w:numId="36">
    <w:abstractNumId w:val="15"/>
  </w:num>
  <w:num w:numId="37">
    <w:abstractNumId w:val="16"/>
  </w:num>
  <w:num w:numId="38">
    <w:abstractNumId w:val="24"/>
  </w:num>
  <w:num w:numId="39">
    <w:abstractNumId w:val="17"/>
  </w:num>
  <w:num w:numId="40">
    <w:abstractNumId w:val="20"/>
  </w:num>
  <w:num w:numId="41">
    <w:abstractNumId w:val="33"/>
  </w:num>
  <w:num w:numId="42">
    <w:abstractNumId w:val="31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484"/>
    <w:rsid w:val="001236A3"/>
    <w:rsid w:val="0012440C"/>
    <w:rsid w:val="00124EE3"/>
    <w:rsid w:val="00127942"/>
    <w:rsid w:val="00144873"/>
    <w:rsid w:val="001512E4"/>
    <w:rsid w:val="001519B9"/>
    <w:rsid w:val="00153835"/>
    <w:rsid w:val="00162FA4"/>
    <w:rsid w:val="00173586"/>
    <w:rsid w:val="00173630"/>
    <w:rsid w:val="00177139"/>
    <w:rsid w:val="001802F0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9C4"/>
    <w:rsid w:val="001B6D56"/>
    <w:rsid w:val="001B6E81"/>
    <w:rsid w:val="001C01AB"/>
    <w:rsid w:val="001C0E63"/>
    <w:rsid w:val="001C267E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40337"/>
    <w:rsid w:val="002406F3"/>
    <w:rsid w:val="00242C27"/>
    <w:rsid w:val="002444E5"/>
    <w:rsid w:val="002458D1"/>
    <w:rsid w:val="0024639A"/>
    <w:rsid w:val="00251ED6"/>
    <w:rsid w:val="0025704C"/>
    <w:rsid w:val="0026015B"/>
    <w:rsid w:val="00262EAF"/>
    <w:rsid w:val="00264A3E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3D73"/>
    <w:rsid w:val="0039012C"/>
    <w:rsid w:val="00390F2E"/>
    <w:rsid w:val="00391DE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3F7627"/>
    <w:rsid w:val="00401A58"/>
    <w:rsid w:val="00404CE8"/>
    <w:rsid w:val="00406965"/>
    <w:rsid w:val="00410549"/>
    <w:rsid w:val="0041077E"/>
    <w:rsid w:val="00410C8E"/>
    <w:rsid w:val="00411147"/>
    <w:rsid w:val="00412EF5"/>
    <w:rsid w:val="0041764A"/>
    <w:rsid w:val="00426B31"/>
    <w:rsid w:val="004355A6"/>
    <w:rsid w:val="004359FB"/>
    <w:rsid w:val="004372A9"/>
    <w:rsid w:val="00444126"/>
    <w:rsid w:val="00444160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B160F"/>
    <w:rsid w:val="004B1FBC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C99"/>
    <w:rsid w:val="00501F5E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772"/>
    <w:rsid w:val="00576A9F"/>
    <w:rsid w:val="00580A49"/>
    <w:rsid w:val="00582471"/>
    <w:rsid w:val="005828AC"/>
    <w:rsid w:val="005828DF"/>
    <w:rsid w:val="005849B9"/>
    <w:rsid w:val="00585B95"/>
    <w:rsid w:val="00587F94"/>
    <w:rsid w:val="00591029"/>
    <w:rsid w:val="005928B2"/>
    <w:rsid w:val="00594224"/>
    <w:rsid w:val="00594370"/>
    <w:rsid w:val="00595913"/>
    <w:rsid w:val="005967FA"/>
    <w:rsid w:val="005971BF"/>
    <w:rsid w:val="005A01D2"/>
    <w:rsid w:val="005A04F7"/>
    <w:rsid w:val="005A4663"/>
    <w:rsid w:val="005A4E4A"/>
    <w:rsid w:val="005A6088"/>
    <w:rsid w:val="005B5905"/>
    <w:rsid w:val="005B78CF"/>
    <w:rsid w:val="005C3939"/>
    <w:rsid w:val="005C4F19"/>
    <w:rsid w:val="005D2261"/>
    <w:rsid w:val="005D30D0"/>
    <w:rsid w:val="005E063D"/>
    <w:rsid w:val="005E1224"/>
    <w:rsid w:val="005E2BAE"/>
    <w:rsid w:val="005E4E1C"/>
    <w:rsid w:val="005E674F"/>
    <w:rsid w:val="005E69F4"/>
    <w:rsid w:val="005E74A1"/>
    <w:rsid w:val="005E7D19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209A0"/>
    <w:rsid w:val="0062258E"/>
    <w:rsid w:val="006230D1"/>
    <w:rsid w:val="006251F2"/>
    <w:rsid w:val="00625EB4"/>
    <w:rsid w:val="00626929"/>
    <w:rsid w:val="0063028A"/>
    <w:rsid w:val="00630A04"/>
    <w:rsid w:val="00631796"/>
    <w:rsid w:val="00632013"/>
    <w:rsid w:val="006324E7"/>
    <w:rsid w:val="00633224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56FFE"/>
    <w:rsid w:val="006639BF"/>
    <w:rsid w:val="00665622"/>
    <w:rsid w:val="00665650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00D9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0075"/>
    <w:rsid w:val="007E13A6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67697"/>
    <w:rsid w:val="00872566"/>
    <w:rsid w:val="0088040C"/>
    <w:rsid w:val="008807A4"/>
    <w:rsid w:val="00881ECA"/>
    <w:rsid w:val="00882684"/>
    <w:rsid w:val="00884390"/>
    <w:rsid w:val="00884FEE"/>
    <w:rsid w:val="00892238"/>
    <w:rsid w:val="00892F8C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7903"/>
    <w:rsid w:val="00AE1356"/>
    <w:rsid w:val="00AE4910"/>
    <w:rsid w:val="00AE5B72"/>
    <w:rsid w:val="00AE6A1E"/>
    <w:rsid w:val="00AF086D"/>
    <w:rsid w:val="00AF3275"/>
    <w:rsid w:val="00AF5680"/>
    <w:rsid w:val="00B00070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65C2"/>
    <w:rsid w:val="00B37E57"/>
    <w:rsid w:val="00B44E1E"/>
    <w:rsid w:val="00B529E5"/>
    <w:rsid w:val="00B5792D"/>
    <w:rsid w:val="00B60134"/>
    <w:rsid w:val="00B60CA1"/>
    <w:rsid w:val="00B60EF7"/>
    <w:rsid w:val="00B6432A"/>
    <w:rsid w:val="00B70D64"/>
    <w:rsid w:val="00B714E2"/>
    <w:rsid w:val="00B733DD"/>
    <w:rsid w:val="00B75C45"/>
    <w:rsid w:val="00B8213E"/>
    <w:rsid w:val="00B86987"/>
    <w:rsid w:val="00B87221"/>
    <w:rsid w:val="00B94EB2"/>
    <w:rsid w:val="00B94EF8"/>
    <w:rsid w:val="00BA083D"/>
    <w:rsid w:val="00BA35F0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F1E4E"/>
    <w:rsid w:val="00BF249B"/>
    <w:rsid w:val="00BF5D87"/>
    <w:rsid w:val="00C0094C"/>
    <w:rsid w:val="00C04318"/>
    <w:rsid w:val="00C05582"/>
    <w:rsid w:val="00C1509B"/>
    <w:rsid w:val="00C2303B"/>
    <w:rsid w:val="00C249DF"/>
    <w:rsid w:val="00C300A3"/>
    <w:rsid w:val="00C305C9"/>
    <w:rsid w:val="00C35FDF"/>
    <w:rsid w:val="00C36216"/>
    <w:rsid w:val="00C41C3A"/>
    <w:rsid w:val="00C4423E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828"/>
    <w:rsid w:val="00C8298A"/>
    <w:rsid w:val="00C8312C"/>
    <w:rsid w:val="00C845F0"/>
    <w:rsid w:val="00C85193"/>
    <w:rsid w:val="00C911CB"/>
    <w:rsid w:val="00C930E7"/>
    <w:rsid w:val="00C96649"/>
    <w:rsid w:val="00CA2B70"/>
    <w:rsid w:val="00CA35CA"/>
    <w:rsid w:val="00CA396E"/>
    <w:rsid w:val="00CA4079"/>
    <w:rsid w:val="00CA5D3C"/>
    <w:rsid w:val="00CB14DD"/>
    <w:rsid w:val="00CB2A2A"/>
    <w:rsid w:val="00CB2FAE"/>
    <w:rsid w:val="00CB669C"/>
    <w:rsid w:val="00CC17A0"/>
    <w:rsid w:val="00CC2804"/>
    <w:rsid w:val="00CC48DC"/>
    <w:rsid w:val="00CC4CB6"/>
    <w:rsid w:val="00CD1039"/>
    <w:rsid w:val="00CD1F9E"/>
    <w:rsid w:val="00CD3E26"/>
    <w:rsid w:val="00CD6392"/>
    <w:rsid w:val="00CE116D"/>
    <w:rsid w:val="00CE1AE5"/>
    <w:rsid w:val="00CE1E7D"/>
    <w:rsid w:val="00CE2877"/>
    <w:rsid w:val="00CE4FFC"/>
    <w:rsid w:val="00CE626C"/>
    <w:rsid w:val="00CE77D7"/>
    <w:rsid w:val="00CF0C73"/>
    <w:rsid w:val="00D003ED"/>
    <w:rsid w:val="00D012DB"/>
    <w:rsid w:val="00D01C37"/>
    <w:rsid w:val="00D15F8F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62E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B765F"/>
    <w:rsid w:val="00DC1CBB"/>
    <w:rsid w:val="00DC5220"/>
    <w:rsid w:val="00DC79B4"/>
    <w:rsid w:val="00DD11BC"/>
    <w:rsid w:val="00DD22EB"/>
    <w:rsid w:val="00DD2E4F"/>
    <w:rsid w:val="00DD5794"/>
    <w:rsid w:val="00DD591A"/>
    <w:rsid w:val="00DD7A64"/>
    <w:rsid w:val="00DE350E"/>
    <w:rsid w:val="00DE52C3"/>
    <w:rsid w:val="00DF0A96"/>
    <w:rsid w:val="00E04B3F"/>
    <w:rsid w:val="00E05AA5"/>
    <w:rsid w:val="00E12226"/>
    <w:rsid w:val="00E17BEE"/>
    <w:rsid w:val="00E17D6D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7E77"/>
    <w:rsid w:val="00E5091F"/>
    <w:rsid w:val="00E51201"/>
    <w:rsid w:val="00E53134"/>
    <w:rsid w:val="00E62D7A"/>
    <w:rsid w:val="00E65E7D"/>
    <w:rsid w:val="00E717CF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3B7D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39EB"/>
    <w:rsid w:val="00F054FC"/>
    <w:rsid w:val="00F06AC4"/>
    <w:rsid w:val="00F07270"/>
    <w:rsid w:val="00F111DE"/>
    <w:rsid w:val="00F117B3"/>
    <w:rsid w:val="00F118BF"/>
    <w:rsid w:val="00F119B0"/>
    <w:rsid w:val="00F12FDC"/>
    <w:rsid w:val="00F17EBE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38C4"/>
    <w:rsid w:val="00F54011"/>
    <w:rsid w:val="00F548A8"/>
    <w:rsid w:val="00F569E7"/>
    <w:rsid w:val="00F571AF"/>
    <w:rsid w:val="00F66762"/>
    <w:rsid w:val="00F674DF"/>
    <w:rsid w:val="00F712F2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CB1"/>
    <w:rsid w:val="00FB6E6B"/>
    <w:rsid w:val="00FB7DBC"/>
    <w:rsid w:val="00FC1799"/>
    <w:rsid w:val="00FC2382"/>
    <w:rsid w:val="00FC4222"/>
    <w:rsid w:val="00FC5485"/>
    <w:rsid w:val="00FC6CCF"/>
    <w:rsid w:val="00FC7A13"/>
    <w:rsid w:val="00FD26CE"/>
    <w:rsid w:val="00FD2805"/>
    <w:rsid w:val="00FE2126"/>
    <w:rsid w:val="00FE43BB"/>
    <w:rsid w:val="00FE4B4F"/>
    <w:rsid w:val="00FE526A"/>
    <w:rsid w:val="00FE5FBE"/>
    <w:rsid w:val="00FE7D9E"/>
    <w:rsid w:val="00FF60CF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26C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  <w:szCs w:val="20"/>
    </w:rPr>
  </w:style>
  <w:style w:type="character" w:customStyle="1" w:styleId="Nadpis3Char">
    <w:name w:val="Nadpis 3 Char"/>
    <w:aliases w:val="Nadpis 3 velká písmena Char"/>
    <w:link w:val="Nadpis3"/>
    <w:locked/>
    <w:rsid w:val="007134F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7134F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aliases w:val="statika Char"/>
    <w:link w:val="Nadpis5"/>
    <w:uiPriority w:val="99"/>
    <w:semiHidden/>
    <w:locked/>
    <w:rsid w:val="007134F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7134F1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7134F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7134F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7134F1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99"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99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9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1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1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2606-9307-4ED2-BCEF-89384F5E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11</Pages>
  <Words>3637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jiri</dc:creator>
  <cp:keywords/>
  <dc:description/>
  <cp:lastModifiedBy>Kostínková Jana Bc.</cp:lastModifiedBy>
  <cp:revision>183</cp:revision>
  <cp:lastPrinted>2019-11-12T14:31:00Z</cp:lastPrinted>
  <dcterms:created xsi:type="dcterms:W3CDTF">2014-05-01T13:47:00Z</dcterms:created>
  <dcterms:modified xsi:type="dcterms:W3CDTF">2019-11-12T14:31:00Z</dcterms:modified>
</cp:coreProperties>
</file>